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2B0" w:rsidRDefault="009B22B0" w:rsidP="00461B79">
      <w:pPr>
        <w:bidi w:val="0"/>
        <w:jc w:val="center"/>
      </w:pPr>
      <w:r>
        <w:t xml:space="preserve">Chapter </w:t>
      </w:r>
      <w:r w:rsidR="00461B79">
        <w:t>One</w:t>
      </w:r>
    </w:p>
    <w:p w:rsidR="00461B79" w:rsidRDefault="00461B79" w:rsidP="00461B79">
      <w:pPr>
        <w:bidi w:val="0"/>
        <w:jc w:val="center"/>
      </w:pPr>
    </w:p>
    <w:p w:rsidR="00461B79" w:rsidRPr="00461B79" w:rsidRDefault="00461B79" w:rsidP="00E47B8C">
      <w:pPr>
        <w:bidi w:val="0"/>
        <w:jc w:val="center"/>
        <w:rPr>
          <w:b/>
          <w:bCs/>
          <w:sz w:val="28"/>
          <w:szCs w:val="28"/>
        </w:rPr>
      </w:pPr>
      <w:r w:rsidRPr="00461B79">
        <w:rPr>
          <w:b/>
          <w:bCs/>
          <w:sz w:val="28"/>
          <w:szCs w:val="28"/>
        </w:rPr>
        <w:t>Main Findings</w:t>
      </w:r>
    </w:p>
    <w:p w:rsidR="00461B79" w:rsidRPr="00E84C77" w:rsidRDefault="00461B79" w:rsidP="00461B79">
      <w:pPr>
        <w:pStyle w:val="Heading2"/>
        <w:rPr>
          <w:sz w:val="20"/>
          <w:szCs w:val="20"/>
        </w:rPr>
      </w:pPr>
    </w:p>
    <w:p w:rsidR="00461B79" w:rsidRDefault="000C58FD" w:rsidP="00D27235">
      <w:pPr>
        <w:bidi w:val="0"/>
        <w:jc w:val="lowKashida"/>
        <w:rPr>
          <w:b/>
          <w:bCs/>
        </w:rPr>
      </w:pPr>
      <w:r>
        <w:rPr>
          <w:b/>
          <w:bCs/>
        </w:rPr>
        <w:t>1.1</w:t>
      </w:r>
      <w:r w:rsidR="00461B79">
        <w:rPr>
          <w:b/>
          <w:bCs/>
        </w:rPr>
        <w:t xml:space="preserve"> Basic National Accounts</w:t>
      </w:r>
    </w:p>
    <w:p w:rsidR="00461B79" w:rsidRDefault="00461B79" w:rsidP="00225E7F">
      <w:pPr>
        <w:bidi w:val="0"/>
        <w:jc w:val="lowKashida"/>
        <w:rPr>
          <w:lang w:eastAsia="en-US"/>
        </w:rPr>
      </w:pPr>
      <w:r>
        <w:t xml:space="preserve">The final findings of the National Accounts at current and constant prices </w:t>
      </w:r>
      <w:r w:rsidR="00957F97">
        <w:t>for the year</w:t>
      </w:r>
      <w:r>
        <w:t xml:space="preserve"> </w:t>
      </w:r>
      <w:r w:rsidR="00DD6826">
        <w:t>2010</w:t>
      </w:r>
      <w:r>
        <w:t xml:space="preserve"> show</w:t>
      </w:r>
      <w:r w:rsidR="0087764A">
        <w:t xml:space="preserve"> a </w:t>
      </w:r>
      <w:r>
        <w:t xml:space="preserve">general growth in </w:t>
      </w:r>
      <w:r w:rsidRPr="00AD3354">
        <w:t xml:space="preserve">the value </w:t>
      </w:r>
      <w:proofErr w:type="gramStart"/>
      <w:r w:rsidRPr="00AD3354">
        <w:t>of  Gross</w:t>
      </w:r>
      <w:proofErr w:type="gramEnd"/>
      <w:r w:rsidRPr="00AD3354">
        <w:t xml:space="preserve"> Domestic Product</w:t>
      </w:r>
      <w:r w:rsidR="005E4004">
        <w:t>,</w:t>
      </w:r>
      <w:r w:rsidRPr="00AD3354">
        <w:t xml:space="preserve"> GNI </w:t>
      </w:r>
      <w:r w:rsidR="0087764A">
        <w:t xml:space="preserve">and </w:t>
      </w:r>
      <w:r w:rsidR="00957F97">
        <w:t xml:space="preserve">GNDI.  </w:t>
      </w:r>
      <w:r w:rsidRPr="00AD3354">
        <w:t>Gross Domestic Product in the Palestinia</w:t>
      </w:r>
      <w:r w:rsidR="00957F97">
        <w:t xml:space="preserve">n Territory at constant prices </w:t>
      </w:r>
      <w:r w:rsidRPr="00AD3354">
        <w:rPr>
          <w:lang w:eastAsia="en-US"/>
        </w:rPr>
        <w:t>was US$</w:t>
      </w:r>
      <w:r w:rsidRPr="00AD3354">
        <w:t xml:space="preserve"> </w:t>
      </w:r>
      <w:r w:rsidRPr="00AD3354">
        <w:rPr>
          <w:rFonts w:cs="Simplified Arabic"/>
        </w:rPr>
        <w:t>5,</w:t>
      </w:r>
      <w:r w:rsidR="00B45B8C" w:rsidRPr="00AD3354">
        <w:rPr>
          <w:rFonts w:cs="Simplified Arabic"/>
        </w:rPr>
        <w:t>754</w:t>
      </w:r>
      <w:r w:rsidRPr="00AD3354">
        <w:rPr>
          <w:rFonts w:cs="Simplified Arabic"/>
        </w:rPr>
        <w:t>.</w:t>
      </w:r>
      <w:r w:rsidR="00DB0725">
        <w:rPr>
          <w:rFonts w:cs="Simplified Arabic"/>
        </w:rPr>
        <w:t>3</w:t>
      </w:r>
      <w:r w:rsidRPr="00AD3354">
        <w:rPr>
          <w:rFonts w:cs="Simplified Arabic" w:hint="cs"/>
          <w:rtl/>
          <w:lang w:val="en-GB"/>
        </w:rPr>
        <w:t xml:space="preserve"> </w:t>
      </w:r>
      <w:r w:rsidRPr="00AD3354">
        <w:rPr>
          <w:lang w:eastAsia="en-US"/>
        </w:rPr>
        <w:t xml:space="preserve">million during </w:t>
      </w:r>
      <w:r w:rsidR="00DD6826" w:rsidRPr="00AD3354">
        <w:rPr>
          <w:lang w:eastAsia="en-US"/>
        </w:rPr>
        <w:t>2010</w:t>
      </w:r>
      <w:r w:rsidRPr="00AD3354">
        <w:rPr>
          <w:lang w:eastAsia="en-US"/>
        </w:rPr>
        <w:t xml:space="preserve"> reflecting an increase of </w:t>
      </w:r>
      <w:r w:rsidR="00B45B8C" w:rsidRPr="00AD3354">
        <w:rPr>
          <w:lang w:eastAsia="en-US"/>
        </w:rPr>
        <w:t>9.8</w:t>
      </w:r>
      <w:r w:rsidRPr="00AD3354">
        <w:rPr>
          <w:lang w:eastAsia="en-US"/>
        </w:rPr>
        <w:t xml:space="preserve">% compared to </w:t>
      </w:r>
      <w:r w:rsidR="00DD6826" w:rsidRPr="00AD3354">
        <w:rPr>
          <w:lang w:eastAsia="en-US"/>
        </w:rPr>
        <w:t>2009</w:t>
      </w:r>
      <w:r w:rsidRPr="00AD3354">
        <w:rPr>
          <w:lang w:eastAsia="en-US"/>
        </w:rPr>
        <w:t xml:space="preserve">. GDP per capita reached </w:t>
      </w:r>
      <w:r w:rsidRPr="00AD3354">
        <w:rPr>
          <w:rFonts w:cs="Simplified Arabic"/>
          <w:lang w:val="en-GB"/>
        </w:rPr>
        <w:t>US$</w:t>
      </w:r>
      <w:r w:rsidRPr="00AD3354">
        <w:rPr>
          <w:rFonts w:cs="Simplified Arabic"/>
        </w:rPr>
        <w:t xml:space="preserve"> 1,</w:t>
      </w:r>
      <w:r w:rsidR="00EA43AD">
        <w:rPr>
          <w:rFonts w:cs="Simplified Arabic" w:hint="cs"/>
          <w:rtl/>
        </w:rPr>
        <w:t>509.</w:t>
      </w:r>
      <w:r w:rsidR="00EA43AD">
        <w:rPr>
          <w:rFonts w:cs="Simplified Arabic"/>
        </w:rPr>
        <w:t>9</w:t>
      </w:r>
      <w:r w:rsidR="00EA43AD">
        <w:rPr>
          <w:rFonts w:cs="Simplified Arabic"/>
          <w:lang w:val="en-GB"/>
        </w:rPr>
        <w:t xml:space="preserve"> </w:t>
      </w:r>
      <w:r w:rsidRPr="00AD3354">
        <w:rPr>
          <w:lang w:eastAsia="en-US"/>
        </w:rPr>
        <w:t xml:space="preserve">during </w:t>
      </w:r>
      <w:r w:rsidR="00DD6826" w:rsidRPr="00AD3354">
        <w:rPr>
          <w:lang w:eastAsia="en-US"/>
        </w:rPr>
        <w:t>2010</w:t>
      </w:r>
      <w:r w:rsidRPr="00AD3354">
        <w:rPr>
          <w:lang w:eastAsia="en-US"/>
        </w:rPr>
        <w:t xml:space="preserve"> with an increase of </w:t>
      </w:r>
      <w:r w:rsidR="00AD3354" w:rsidRPr="00AD3354">
        <w:rPr>
          <w:rFonts w:hint="cs"/>
          <w:rtl/>
          <w:lang w:eastAsia="en-US"/>
        </w:rPr>
        <w:t>6.7</w:t>
      </w:r>
      <w:r w:rsidRPr="00AD3354">
        <w:rPr>
          <w:lang w:eastAsia="en-US"/>
        </w:rPr>
        <w:t xml:space="preserve">% compared </w:t>
      </w:r>
      <w:proofErr w:type="gramStart"/>
      <w:r w:rsidRPr="00AD3354">
        <w:rPr>
          <w:lang w:eastAsia="en-US"/>
        </w:rPr>
        <w:t>to  previous</w:t>
      </w:r>
      <w:proofErr w:type="gramEnd"/>
      <w:r w:rsidRPr="00AD3354">
        <w:rPr>
          <w:lang w:eastAsia="en-US"/>
        </w:rPr>
        <w:t xml:space="preserve"> year.</w:t>
      </w:r>
      <w:r>
        <w:rPr>
          <w:lang w:eastAsia="en-US"/>
        </w:rPr>
        <w:t xml:space="preserve"> </w:t>
      </w:r>
    </w:p>
    <w:p w:rsidR="00461B79" w:rsidRDefault="00461B79" w:rsidP="00461B79">
      <w:pPr>
        <w:bidi w:val="0"/>
        <w:jc w:val="lowKashida"/>
        <w:rPr>
          <w:lang w:eastAsia="en-US"/>
        </w:rPr>
      </w:pPr>
    </w:p>
    <w:p w:rsidR="00AD3354" w:rsidRDefault="00461B79" w:rsidP="00D27235">
      <w:pPr>
        <w:bidi w:val="0"/>
        <w:jc w:val="lowKashida"/>
        <w:rPr>
          <w:b/>
          <w:bCs/>
          <w:snapToGrid w:val="0"/>
        </w:rPr>
      </w:pPr>
      <w:r>
        <w:rPr>
          <w:b/>
          <w:bCs/>
        </w:rPr>
        <w:t xml:space="preserve">First: </w:t>
      </w:r>
      <w:r>
        <w:rPr>
          <w:b/>
          <w:bCs/>
          <w:snapToGrid w:val="0"/>
        </w:rPr>
        <w:t xml:space="preserve">Percentage Contribution to GDP </w:t>
      </w:r>
      <w:proofErr w:type="gramStart"/>
      <w:r>
        <w:rPr>
          <w:b/>
          <w:bCs/>
          <w:snapToGrid w:val="0"/>
        </w:rPr>
        <w:t>for  Years</w:t>
      </w:r>
      <w:proofErr w:type="gramEnd"/>
      <w:r>
        <w:rPr>
          <w:b/>
          <w:bCs/>
          <w:snapToGrid w:val="0"/>
        </w:rPr>
        <w:t xml:space="preserve"> </w:t>
      </w:r>
      <w:r w:rsidR="00BC304E">
        <w:rPr>
          <w:b/>
          <w:bCs/>
          <w:snapToGrid w:val="0"/>
        </w:rPr>
        <w:t xml:space="preserve">of </w:t>
      </w:r>
      <w:r w:rsidR="00DD6826">
        <w:rPr>
          <w:b/>
          <w:bCs/>
          <w:snapToGrid w:val="0"/>
        </w:rPr>
        <w:t>2009</w:t>
      </w:r>
      <w:r w:rsidR="00BC304E">
        <w:rPr>
          <w:b/>
          <w:bCs/>
          <w:snapToGrid w:val="0"/>
        </w:rPr>
        <w:t xml:space="preserve"> and</w:t>
      </w:r>
      <w:r>
        <w:rPr>
          <w:b/>
          <w:bCs/>
          <w:snapToGrid w:val="0"/>
        </w:rPr>
        <w:t xml:space="preserve"> </w:t>
      </w:r>
      <w:r w:rsidR="00DD6826">
        <w:rPr>
          <w:b/>
          <w:bCs/>
          <w:snapToGrid w:val="0"/>
        </w:rPr>
        <w:t>2010</w:t>
      </w:r>
    </w:p>
    <w:p w:rsidR="00D27235" w:rsidRDefault="00B14574" w:rsidP="00B14574">
      <w:pPr>
        <w:bidi w:val="0"/>
        <w:jc w:val="lowKashida"/>
        <w:rPr>
          <w:b/>
          <w:bCs/>
          <w:snapToGrid w:val="0"/>
        </w:rPr>
      </w:pPr>
      <w:r>
        <w:rPr>
          <w:b/>
          <w:bCs/>
          <w:snapToGrid w:val="0"/>
        </w:rPr>
        <w:t>T</w:t>
      </w:r>
      <w:r w:rsidR="00957F97">
        <w:rPr>
          <w:b/>
          <w:bCs/>
          <w:snapToGrid w:val="0"/>
        </w:rPr>
        <w:t xml:space="preserve">he </w:t>
      </w:r>
      <w:r w:rsidR="00AD3354">
        <w:rPr>
          <w:b/>
          <w:bCs/>
          <w:snapToGrid w:val="0"/>
        </w:rPr>
        <w:t xml:space="preserve">structure </w:t>
      </w:r>
      <w:r w:rsidR="00957F97">
        <w:rPr>
          <w:b/>
          <w:bCs/>
          <w:snapToGrid w:val="0"/>
        </w:rPr>
        <w:t>of</w:t>
      </w:r>
      <w:r w:rsidR="00AD3354">
        <w:rPr>
          <w:b/>
          <w:bCs/>
          <w:snapToGrid w:val="0"/>
        </w:rPr>
        <w:t xml:space="preserve"> some economic activities </w:t>
      </w:r>
      <w:r w:rsidR="00957F97">
        <w:rPr>
          <w:b/>
          <w:bCs/>
          <w:snapToGrid w:val="0"/>
        </w:rPr>
        <w:t>for years 2009</w:t>
      </w:r>
      <w:r>
        <w:rPr>
          <w:b/>
          <w:bCs/>
          <w:snapToGrid w:val="0"/>
        </w:rPr>
        <w:t xml:space="preserve"> and</w:t>
      </w:r>
      <w:r w:rsidR="00957F97">
        <w:rPr>
          <w:b/>
          <w:bCs/>
          <w:snapToGrid w:val="0"/>
        </w:rPr>
        <w:t xml:space="preserve"> 2010 was changed </w:t>
      </w:r>
      <w:r w:rsidR="00AD3354">
        <w:rPr>
          <w:b/>
          <w:bCs/>
          <w:snapToGrid w:val="0"/>
        </w:rPr>
        <w:t xml:space="preserve">according to the use </w:t>
      </w:r>
      <w:r w:rsidR="00957F97">
        <w:rPr>
          <w:b/>
          <w:bCs/>
        </w:rPr>
        <w:t xml:space="preserve">of </w:t>
      </w:r>
      <w:r w:rsidR="00AD3354" w:rsidRPr="000F62C1">
        <w:rPr>
          <w:b/>
          <w:bCs/>
        </w:rPr>
        <w:t>International Standard</w:t>
      </w:r>
      <w:r>
        <w:rPr>
          <w:b/>
          <w:bCs/>
        </w:rPr>
        <w:t xml:space="preserve"> of</w:t>
      </w:r>
      <w:r w:rsidR="00AD3354" w:rsidRPr="000F62C1">
        <w:rPr>
          <w:b/>
          <w:bCs/>
        </w:rPr>
        <w:t xml:space="preserve"> Industrial Classification of All Economic Activities</w:t>
      </w:r>
      <w:r w:rsidR="00957F97">
        <w:rPr>
          <w:b/>
          <w:bCs/>
        </w:rPr>
        <w:t xml:space="preserve"> (ISIC), </w:t>
      </w:r>
      <w:r w:rsidR="00AD3354" w:rsidRPr="000F62C1">
        <w:rPr>
          <w:b/>
          <w:bCs/>
        </w:rPr>
        <w:t>Rev.4</w:t>
      </w:r>
      <w:r w:rsidR="00957F97">
        <w:rPr>
          <w:b/>
          <w:bCs/>
          <w:snapToGrid w:val="0"/>
        </w:rPr>
        <w:t xml:space="preserve"> and this is based on the international recommendations</w:t>
      </w:r>
      <w:r w:rsidR="0061292C">
        <w:rPr>
          <w:b/>
          <w:bCs/>
          <w:snapToGrid w:val="0"/>
        </w:rPr>
        <w:t>.</w:t>
      </w:r>
      <w:r w:rsidR="00461B79">
        <w:rPr>
          <w:b/>
          <w:bCs/>
          <w:snapToGrid w:val="0"/>
        </w:rPr>
        <w:tab/>
      </w:r>
    </w:p>
    <w:p w:rsidR="00461B79" w:rsidRDefault="00461B79" w:rsidP="00D27235">
      <w:pPr>
        <w:bidi w:val="0"/>
        <w:jc w:val="lowKashida"/>
        <w:rPr>
          <w:b/>
          <w:bCs/>
          <w:snapToGrid w:val="0"/>
        </w:rPr>
      </w:pPr>
      <w:r>
        <w:rPr>
          <w:b/>
          <w:bCs/>
          <w:snapToGrid w:val="0"/>
        </w:rPr>
        <w:t xml:space="preserve"> </w:t>
      </w:r>
    </w:p>
    <w:p w:rsidR="00461B79" w:rsidRDefault="00461B79" w:rsidP="00751D89">
      <w:pPr>
        <w:bidi w:val="0"/>
        <w:jc w:val="lowKashida"/>
        <w:rPr>
          <w:snapToGrid w:val="0"/>
        </w:rPr>
      </w:pPr>
      <w:r>
        <w:t xml:space="preserve">For </w:t>
      </w:r>
      <w:r>
        <w:rPr>
          <w:snapToGrid w:val="0"/>
        </w:rPr>
        <w:t xml:space="preserve">percentage contribution to GDP by economic activity, it is noticed </w:t>
      </w:r>
      <w:proofErr w:type="gramStart"/>
      <w:r>
        <w:rPr>
          <w:snapToGrid w:val="0"/>
        </w:rPr>
        <w:t>that  Palestinian</w:t>
      </w:r>
      <w:proofErr w:type="gramEnd"/>
      <w:r>
        <w:rPr>
          <w:snapToGrid w:val="0"/>
        </w:rPr>
        <w:t xml:space="preserve"> economy is </w:t>
      </w:r>
      <w:r w:rsidR="00545E3F">
        <w:rPr>
          <w:snapToGrid w:val="0"/>
        </w:rPr>
        <w:t xml:space="preserve">a </w:t>
      </w:r>
      <w:r>
        <w:rPr>
          <w:snapToGrid w:val="0"/>
        </w:rPr>
        <w:t>service-oriented</w:t>
      </w:r>
      <w:r w:rsidR="00545E3F">
        <w:rPr>
          <w:snapToGrid w:val="0"/>
        </w:rPr>
        <w:t xml:space="preserve"> one</w:t>
      </w:r>
      <w:r>
        <w:rPr>
          <w:snapToGrid w:val="0"/>
        </w:rPr>
        <w:t xml:space="preserve">. The percentage contribution to </w:t>
      </w:r>
      <w:r w:rsidRPr="005B4620">
        <w:rPr>
          <w:snapToGrid w:val="0"/>
        </w:rPr>
        <w:t xml:space="preserve">GDP was </w:t>
      </w:r>
      <w:r w:rsidR="005B4620" w:rsidRPr="005B4620">
        <w:rPr>
          <w:rFonts w:hint="cs"/>
          <w:snapToGrid w:val="0"/>
          <w:rtl/>
        </w:rPr>
        <w:t>22.0</w:t>
      </w:r>
      <w:r w:rsidRPr="005B4620">
        <w:rPr>
          <w:snapToGrid w:val="0"/>
        </w:rPr>
        <w:t>%</w:t>
      </w:r>
      <w:r>
        <w:rPr>
          <w:snapToGrid w:val="0"/>
        </w:rPr>
        <w:t xml:space="preserve"> (which includes</w:t>
      </w:r>
      <w:r w:rsidR="004C4932">
        <w:rPr>
          <w:snapToGrid w:val="0"/>
        </w:rPr>
        <w:t xml:space="preserve"> according to ISIC, rev4 the following activities:</w:t>
      </w:r>
      <w:r>
        <w:rPr>
          <w:snapToGrid w:val="0"/>
        </w:rPr>
        <w:t xml:space="preserve"> real estate, </w:t>
      </w:r>
      <w:r w:rsidR="005B4620" w:rsidRPr="005B4620">
        <w:rPr>
          <w:snapToGrid w:val="0"/>
        </w:rPr>
        <w:t>Professional, scientific and technical activities</w:t>
      </w:r>
      <w:r w:rsidR="005B4620">
        <w:rPr>
          <w:snapToGrid w:val="0"/>
        </w:rPr>
        <w:t>,</w:t>
      </w:r>
      <w:r w:rsidR="005B4620" w:rsidRPr="005B4620">
        <w:t xml:space="preserve"> </w:t>
      </w:r>
      <w:r w:rsidR="00545E3F">
        <w:rPr>
          <w:snapToGrid w:val="0"/>
        </w:rPr>
        <w:t xml:space="preserve">accommodation </w:t>
      </w:r>
      <w:r w:rsidR="005B4620" w:rsidRPr="005B4620">
        <w:rPr>
          <w:snapToGrid w:val="0"/>
        </w:rPr>
        <w:t>and food service activities</w:t>
      </w:r>
      <w:r w:rsidR="005B4620">
        <w:rPr>
          <w:snapToGrid w:val="0"/>
        </w:rPr>
        <w:t>,</w:t>
      </w:r>
      <w:r w:rsidR="005B4620" w:rsidRPr="005B4620">
        <w:t xml:space="preserve"> </w:t>
      </w:r>
      <w:r w:rsidR="005B4620" w:rsidRPr="005B4620">
        <w:rPr>
          <w:snapToGrid w:val="0"/>
        </w:rPr>
        <w:t>Education</w:t>
      </w:r>
      <w:r w:rsidR="005B4620">
        <w:rPr>
          <w:snapToGrid w:val="0"/>
        </w:rPr>
        <w:t xml:space="preserve">, </w:t>
      </w:r>
      <w:r w:rsidR="00545E3F">
        <w:rPr>
          <w:snapToGrid w:val="0"/>
        </w:rPr>
        <w:t>h</w:t>
      </w:r>
      <w:r w:rsidR="00545E3F" w:rsidRPr="005B4620">
        <w:rPr>
          <w:snapToGrid w:val="0"/>
        </w:rPr>
        <w:t xml:space="preserve">uman </w:t>
      </w:r>
      <w:r w:rsidR="005B4620" w:rsidRPr="005B4620">
        <w:rPr>
          <w:snapToGrid w:val="0"/>
        </w:rPr>
        <w:t>health and social work activities</w:t>
      </w:r>
      <w:r w:rsidR="005B4620">
        <w:rPr>
          <w:snapToGrid w:val="0"/>
        </w:rPr>
        <w:t xml:space="preserve">, </w:t>
      </w:r>
      <w:r w:rsidR="00751D89">
        <w:rPr>
          <w:snapToGrid w:val="0"/>
        </w:rPr>
        <w:t>a</w:t>
      </w:r>
      <w:r w:rsidR="00751D89" w:rsidRPr="005B4620">
        <w:rPr>
          <w:snapToGrid w:val="0"/>
        </w:rPr>
        <w:t>rts</w:t>
      </w:r>
      <w:r w:rsidR="005B4620" w:rsidRPr="005B4620">
        <w:rPr>
          <w:snapToGrid w:val="0"/>
        </w:rPr>
        <w:t xml:space="preserve">, entertainment and </w:t>
      </w:r>
      <w:r w:rsidR="005B4620" w:rsidRPr="0056633B">
        <w:rPr>
          <w:snapToGrid w:val="0"/>
        </w:rPr>
        <w:t>recreation</w:t>
      </w:r>
      <w:r w:rsidR="00751D89">
        <w:rPr>
          <w:snapToGrid w:val="0"/>
        </w:rPr>
        <w:t xml:space="preserve"> and</w:t>
      </w:r>
      <w:r w:rsidR="005B4620" w:rsidRPr="0056633B">
        <w:t xml:space="preserve"> </w:t>
      </w:r>
      <w:r w:rsidR="00751D89">
        <w:rPr>
          <w:snapToGrid w:val="0"/>
        </w:rPr>
        <w:t>o</w:t>
      </w:r>
      <w:r w:rsidR="00751D89" w:rsidRPr="0056633B">
        <w:rPr>
          <w:snapToGrid w:val="0"/>
        </w:rPr>
        <w:t xml:space="preserve">ther </w:t>
      </w:r>
      <w:r w:rsidR="005B4620" w:rsidRPr="0056633B">
        <w:rPr>
          <w:snapToGrid w:val="0"/>
        </w:rPr>
        <w:t>service activities</w:t>
      </w:r>
      <w:r w:rsidRPr="0056633B">
        <w:rPr>
          <w:snapToGrid w:val="0"/>
        </w:rPr>
        <w:t xml:space="preserve">) during </w:t>
      </w:r>
      <w:r w:rsidR="00DD6826" w:rsidRPr="0056633B">
        <w:rPr>
          <w:snapToGrid w:val="0"/>
        </w:rPr>
        <w:t>2010</w:t>
      </w:r>
      <w:r w:rsidRPr="0056633B">
        <w:rPr>
          <w:snapToGrid w:val="0"/>
        </w:rPr>
        <w:t xml:space="preserve">. </w:t>
      </w:r>
      <w:r w:rsidR="005B4620" w:rsidRPr="0056633B">
        <w:rPr>
          <w:snapToGrid w:val="0"/>
        </w:rPr>
        <w:t>Public administration and defense activity contributed 13.6%, while  industrial activities which include (</w:t>
      </w:r>
      <w:r w:rsidRPr="0056633B">
        <w:rPr>
          <w:snapToGrid w:val="0"/>
        </w:rPr>
        <w:t xml:space="preserve">Mining, manufacturing, </w:t>
      </w:r>
      <w:r w:rsidR="005B4620" w:rsidRPr="0056633B">
        <w:rPr>
          <w:snapToGrid w:val="0"/>
        </w:rPr>
        <w:t>Electricity, gas, steam and air conditioning supply,</w:t>
      </w:r>
      <w:r w:rsidR="005B4620" w:rsidRPr="0056633B">
        <w:t xml:space="preserve"> </w:t>
      </w:r>
      <w:r w:rsidR="00751D89">
        <w:rPr>
          <w:snapToGrid w:val="0"/>
        </w:rPr>
        <w:t>w</w:t>
      </w:r>
      <w:r w:rsidR="00751D89" w:rsidRPr="0056633B">
        <w:rPr>
          <w:snapToGrid w:val="0"/>
        </w:rPr>
        <w:t xml:space="preserve">ater </w:t>
      </w:r>
      <w:r w:rsidR="005B4620" w:rsidRPr="0056633B">
        <w:rPr>
          <w:snapToGrid w:val="0"/>
        </w:rPr>
        <w:t>supply, sewerage, waste management and remediation activities)</w:t>
      </w:r>
      <w:r w:rsidR="00957F97">
        <w:rPr>
          <w:snapToGrid w:val="0"/>
        </w:rPr>
        <w:t xml:space="preserve"> </w:t>
      </w:r>
      <w:r w:rsidR="005B4620" w:rsidRPr="0056633B">
        <w:rPr>
          <w:snapToGrid w:val="0"/>
        </w:rPr>
        <w:t>contributed by 12.9%</w:t>
      </w:r>
      <w:r w:rsidRPr="0056633B">
        <w:rPr>
          <w:snapToGrid w:val="0"/>
        </w:rPr>
        <w:t xml:space="preserve"> </w:t>
      </w:r>
      <w:r w:rsidR="00957F97">
        <w:rPr>
          <w:snapToGrid w:val="0"/>
        </w:rPr>
        <w:t>of  GDP,</w:t>
      </w:r>
      <w:r w:rsidRPr="0056633B">
        <w:rPr>
          <w:snapToGrid w:val="0"/>
        </w:rPr>
        <w:t xml:space="preserve"> while </w:t>
      </w:r>
      <w:r w:rsidR="00957F97">
        <w:rPr>
          <w:snapToGrid w:val="0"/>
        </w:rPr>
        <w:t>Construction</w:t>
      </w:r>
      <w:r w:rsidRPr="0056633B">
        <w:rPr>
          <w:snapToGrid w:val="0"/>
        </w:rPr>
        <w:t xml:space="preserve"> activity contributed </w:t>
      </w:r>
      <w:r w:rsidR="0056633B" w:rsidRPr="0056633B">
        <w:rPr>
          <w:snapToGrid w:val="0"/>
        </w:rPr>
        <w:t>9.</w:t>
      </w:r>
      <w:r w:rsidR="00957F97">
        <w:rPr>
          <w:snapToGrid w:val="0"/>
        </w:rPr>
        <w:t>7</w:t>
      </w:r>
      <w:r w:rsidRPr="0056633B">
        <w:rPr>
          <w:snapToGrid w:val="0"/>
        </w:rPr>
        <w:t>%.</w:t>
      </w:r>
      <w:r w:rsidR="00957F97">
        <w:rPr>
          <w:snapToGrid w:val="0"/>
        </w:rPr>
        <w:t xml:space="preserve">  Meanwhile, </w:t>
      </w:r>
      <w:r w:rsidR="0056633B" w:rsidRPr="0056633B">
        <w:rPr>
          <w:snapToGrid w:val="0"/>
        </w:rPr>
        <w:t xml:space="preserve">Transportation and </w:t>
      </w:r>
      <w:r w:rsidR="00E1699F" w:rsidRPr="0056633B">
        <w:rPr>
          <w:snapToGrid w:val="0"/>
        </w:rPr>
        <w:t xml:space="preserve">storage </w:t>
      </w:r>
      <w:r w:rsidR="00957F97">
        <w:rPr>
          <w:snapToGrid w:val="0"/>
        </w:rPr>
        <w:t>activities</w:t>
      </w:r>
      <w:r w:rsidRPr="0056633B">
        <w:rPr>
          <w:snapToGrid w:val="0"/>
        </w:rPr>
        <w:t xml:space="preserve"> formed the lowest contribution which reached </w:t>
      </w:r>
      <w:r w:rsidR="0056633B" w:rsidRPr="0056633B">
        <w:rPr>
          <w:snapToGrid w:val="0"/>
        </w:rPr>
        <w:t>2.1</w:t>
      </w:r>
      <w:r w:rsidRPr="0056633B">
        <w:rPr>
          <w:snapToGrid w:val="0"/>
        </w:rPr>
        <w:t>%.</w:t>
      </w:r>
    </w:p>
    <w:p w:rsidR="00E1699F" w:rsidRDefault="00E1699F" w:rsidP="00E1699F">
      <w:pPr>
        <w:bidi w:val="0"/>
        <w:jc w:val="lowKashida"/>
        <w:rPr>
          <w:snapToGrid w:val="0"/>
        </w:rPr>
      </w:pPr>
    </w:p>
    <w:p w:rsidR="00461B79" w:rsidRDefault="00461B79" w:rsidP="00ED6347">
      <w:pPr>
        <w:bidi w:val="0"/>
        <w:jc w:val="center"/>
        <w:rPr>
          <w:rFonts w:ascii="Arial" w:hAnsi="Arial" w:cs="Arial"/>
          <w:b/>
          <w:bCs/>
          <w:snapToGrid w:val="0"/>
          <w:sz w:val="22"/>
          <w:szCs w:val="22"/>
          <w:rtl/>
          <w:lang w:val="en-GB"/>
        </w:rPr>
      </w:pPr>
      <w:r>
        <w:rPr>
          <w:rFonts w:ascii="Arial" w:hAnsi="Arial" w:cs="Arial"/>
          <w:b/>
          <w:bCs/>
          <w:snapToGrid w:val="0"/>
          <w:sz w:val="22"/>
          <w:szCs w:val="22"/>
        </w:rPr>
        <w:t xml:space="preserve">Percentage contribution to GDP </w:t>
      </w:r>
      <w:r w:rsidR="00957F97">
        <w:rPr>
          <w:rFonts w:ascii="Arial" w:hAnsi="Arial" w:cs="Arial"/>
          <w:b/>
          <w:bCs/>
          <w:snapToGrid w:val="0"/>
          <w:sz w:val="22"/>
          <w:szCs w:val="22"/>
        </w:rPr>
        <w:t>by region and</w:t>
      </w:r>
      <w:r>
        <w:rPr>
          <w:rFonts w:ascii="Arial" w:hAnsi="Arial" w:cs="Arial"/>
          <w:b/>
          <w:bCs/>
          <w:snapToGrid w:val="0"/>
          <w:sz w:val="22"/>
          <w:szCs w:val="22"/>
        </w:rPr>
        <w:t xml:space="preserve"> economic activity for the years</w:t>
      </w:r>
      <w:r w:rsidR="00535A77">
        <w:rPr>
          <w:rFonts w:ascii="Arial" w:hAnsi="Arial" w:cs="Arial"/>
          <w:b/>
          <w:bCs/>
          <w:snapToGrid w:val="0"/>
          <w:sz w:val="22"/>
          <w:szCs w:val="22"/>
        </w:rPr>
        <w:t xml:space="preserve"> of </w:t>
      </w:r>
      <w:r w:rsidR="00ED6347">
        <w:rPr>
          <w:rFonts w:ascii="Arial" w:hAnsi="Arial" w:cs="Arial"/>
          <w:b/>
          <w:bCs/>
          <w:snapToGrid w:val="0"/>
          <w:sz w:val="22"/>
          <w:szCs w:val="22"/>
        </w:rPr>
        <w:t xml:space="preserve"> </w:t>
      </w:r>
      <w:r>
        <w:rPr>
          <w:rFonts w:ascii="Arial" w:hAnsi="Arial" w:cs="Arial"/>
          <w:b/>
          <w:bCs/>
          <w:snapToGrid w:val="0"/>
          <w:sz w:val="22"/>
          <w:szCs w:val="22"/>
        </w:rPr>
        <w:t xml:space="preserve"> </w:t>
      </w:r>
      <w:r w:rsidR="00ED6347">
        <w:rPr>
          <w:rFonts w:ascii="Arial" w:hAnsi="Arial" w:cs="Arial"/>
          <w:b/>
          <w:bCs/>
          <w:snapToGrid w:val="0"/>
          <w:sz w:val="22"/>
          <w:szCs w:val="22"/>
          <w:lang w:val="en-GB"/>
        </w:rPr>
        <w:t>(</w:t>
      </w:r>
      <w:r w:rsidR="005A49DD">
        <w:rPr>
          <w:rFonts w:ascii="Arial" w:hAnsi="Arial" w:cs="Arial"/>
          <w:b/>
          <w:bCs/>
          <w:snapToGrid w:val="0"/>
          <w:sz w:val="22"/>
          <w:szCs w:val="22"/>
          <w:lang w:val="en-GB"/>
        </w:rPr>
        <w:t>2009</w:t>
      </w:r>
      <w:r w:rsidR="00ED6347">
        <w:rPr>
          <w:rFonts w:ascii="Arial" w:hAnsi="Arial" w:cs="Arial"/>
          <w:b/>
          <w:bCs/>
          <w:snapToGrid w:val="0"/>
          <w:sz w:val="22"/>
          <w:szCs w:val="22"/>
          <w:lang w:val="en-GB"/>
        </w:rPr>
        <w:t>,</w:t>
      </w:r>
      <w:r w:rsidR="003520B0">
        <w:rPr>
          <w:rFonts w:ascii="Arial" w:hAnsi="Arial" w:cs="Arial"/>
          <w:b/>
          <w:bCs/>
          <w:snapToGrid w:val="0"/>
          <w:sz w:val="22"/>
          <w:szCs w:val="22"/>
          <w:lang w:val="en-GB"/>
        </w:rPr>
        <w:t xml:space="preserve"> </w:t>
      </w:r>
      <w:r w:rsidR="0007072F">
        <w:rPr>
          <w:rFonts w:ascii="Arial" w:hAnsi="Arial" w:cs="Arial"/>
          <w:b/>
          <w:bCs/>
          <w:snapToGrid w:val="0"/>
          <w:sz w:val="22"/>
          <w:szCs w:val="22"/>
          <w:lang w:val="en-GB"/>
        </w:rPr>
        <w:t>2010</w:t>
      </w:r>
      <w:r w:rsidR="00ED6347">
        <w:rPr>
          <w:rFonts w:ascii="Arial" w:hAnsi="Arial" w:cs="Arial"/>
          <w:b/>
          <w:bCs/>
          <w:snapToGrid w:val="0"/>
          <w:sz w:val="22"/>
          <w:szCs w:val="22"/>
          <w:lang w:val="en-GB"/>
        </w:rPr>
        <w:t>)</w:t>
      </w:r>
      <w:r w:rsidR="0007072F">
        <w:rPr>
          <w:rFonts w:ascii="Arial" w:hAnsi="Arial" w:cs="Arial"/>
          <w:b/>
          <w:bCs/>
          <w:snapToGrid w:val="0"/>
          <w:sz w:val="22"/>
          <w:szCs w:val="22"/>
        </w:rPr>
        <w:t xml:space="preserve"> </w:t>
      </w:r>
      <w:r>
        <w:rPr>
          <w:rFonts w:ascii="Arial" w:hAnsi="Arial" w:cs="Arial"/>
          <w:b/>
          <w:bCs/>
          <w:snapToGrid w:val="0"/>
          <w:sz w:val="22"/>
          <w:szCs w:val="22"/>
        </w:rPr>
        <w:t>at constant prices: 2004 is the base year</w:t>
      </w:r>
    </w:p>
    <w:p w:rsidR="00461B79" w:rsidRDefault="00461B79" w:rsidP="00461B79">
      <w:pPr>
        <w:bidi w:val="0"/>
        <w:jc w:val="center"/>
        <w:rPr>
          <w:rFonts w:cs="Arial"/>
          <w:b/>
          <w:bCs/>
          <w:sz w:val="12"/>
          <w:szCs w:val="12"/>
          <w:rtl/>
          <w:lang w:val="en-GB"/>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70"/>
        <w:gridCol w:w="904"/>
        <w:gridCol w:w="905"/>
        <w:gridCol w:w="905"/>
        <w:gridCol w:w="903"/>
        <w:gridCol w:w="903"/>
        <w:gridCol w:w="897"/>
      </w:tblGrid>
      <w:tr w:rsidR="00461B79" w:rsidTr="00D27235">
        <w:trPr>
          <w:trHeight w:val="312"/>
          <w:jc w:val="center"/>
        </w:trPr>
        <w:tc>
          <w:tcPr>
            <w:tcW w:w="2084" w:type="pct"/>
            <w:vMerge w:val="restart"/>
            <w:tcBorders>
              <w:left w:val="single" w:sz="4" w:space="0" w:color="auto"/>
            </w:tcBorders>
            <w:vAlign w:val="center"/>
          </w:tcPr>
          <w:p w:rsidR="00461B79" w:rsidRDefault="00461B79" w:rsidP="00E413DB">
            <w:pPr>
              <w:pStyle w:val="Heading5"/>
              <w:jc w:val="left"/>
              <w:rPr>
                <w:snapToGrid w:val="0"/>
                <w:rtl/>
                <w:lang w:val="en-GB" w:eastAsia="ar-SA"/>
              </w:rPr>
            </w:pPr>
            <w:r>
              <w:rPr>
                <w:snapToGrid w:val="0"/>
                <w:lang w:eastAsia="ar-SA"/>
              </w:rPr>
              <w:t>Economic Activity</w:t>
            </w:r>
          </w:p>
        </w:tc>
        <w:tc>
          <w:tcPr>
            <w:tcW w:w="974" w:type="pct"/>
            <w:gridSpan w:val="2"/>
            <w:tcBorders>
              <w:bottom w:val="single" w:sz="4" w:space="0" w:color="auto"/>
            </w:tcBorders>
            <w:vAlign w:val="center"/>
          </w:tcPr>
          <w:p w:rsidR="00461B79" w:rsidRDefault="00461B79" w:rsidP="00461B79">
            <w:pPr>
              <w:bidi w:val="0"/>
              <w:ind w:left="-109"/>
              <w:jc w:val="center"/>
              <w:rPr>
                <w:rFonts w:ascii="Arial" w:hAnsi="Arial" w:cs="Arial"/>
                <w:b/>
                <w:bCs/>
                <w:sz w:val="18"/>
                <w:szCs w:val="18"/>
                <w:rtl/>
                <w:lang w:val="en-GB" w:eastAsia="en-US"/>
              </w:rPr>
            </w:pPr>
            <w:r>
              <w:rPr>
                <w:rFonts w:ascii="Arial" w:hAnsi="Arial" w:cs="Arial"/>
                <w:b/>
                <w:bCs/>
                <w:snapToGrid w:val="0"/>
                <w:sz w:val="18"/>
                <w:szCs w:val="18"/>
              </w:rPr>
              <w:t>Palestinian Territory</w:t>
            </w:r>
          </w:p>
        </w:tc>
        <w:tc>
          <w:tcPr>
            <w:tcW w:w="973" w:type="pct"/>
            <w:gridSpan w:val="2"/>
            <w:tcBorders>
              <w:bottom w:val="single" w:sz="4" w:space="0" w:color="auto"/>
            </w:tcBorders>
            <w:vAlign w:val="center"/>
          </w:tcPr>
          <w:p w:rsidR="00461B79" w:rsidRDefault="00461B79" w:rsidP="00461B79">
            <w:pPr>
              <w:bidi w:val="0"/>
              <w:ind w:left="-109"/>
              <w:jc w:val="center"/>
              <w:rPr>
                <w:rFonts w:ascii="Arial" w:hAnsi="Arial" w:cs="Arial"/>
                <w:b/>
                <w:bCs/>
                <w:sz w:val="18"/>
                <w:szCs w:val="18"/>
                <w:rtl/>
                <w:lang w:val="en-GB" w:eastAsia="en-US"/>
              </w:rPr>
            </w:pPr>
            <w:r>
              <w:rPr>
                <w:rFonts w:ascii="Arial" w:hAnsi="Arial" w:cs="Arial"/>
                <w:b/>
                <w:bCs/>
                <w:snapToGrid w:val="0"/>
                <w:sz w:val="18"/>
                <w:szCs w:val="18"/>
              </w:rPr>
              <w:t>West Bank</w:t>
            </w:r>
          </w:p>
        </w:tc>
        <w:tc>
          <w:tcPr>
            <w:tcW w:w="969" w:type="pct"/>
            <w:gridSpan w:val="2"/>
            <w:tcBorders>
              <w:bottom w:val="single" w:sz="4" w:space="0" w:color="auto"/>
            </w:tcBorders>
            <w:vAlign w:val="center"/>
          </w:tcPr>
          <w:p w:rsidR="00461B79" w:rsidRDefault="00461B79" w:rsidP="00461B79">
            <w:pPr>
              <w:bidi w:val="0"/>
              <w:ind w:left="-115"/>
              <w:jc w:val="center"/>
              <w:rPr>
                <w:rFonts w:ascii="Arial" w:hAnsi="Arial" w:cs="Arial"/>
                <w:b/>
                <w:bCs/>
                <w:snapToGrid w:val="0"/>
                <w:sz w:val="18"/>
                <w:szCs w:val="18"/>
              </w:rPr>
            </w:pPr>
          </w:p>
          <w:p w:rsidR="00461B79" w:rsidRDefault="00461B79" w:rsidP="00461B79">
            <w:pPr>
              <w:bidi w:val="0"/>
              <w:ind w:left="-115"/>
              <w:jc w:val="center"/>
              <w:rPr>
                <w:rFonts w:ascii="Arial" w:hAnsi="Arial" w:cs="Arial"/>
                <w:b/>
                <w:bCs/>
                <w:snapToGrid w:val="0"/>
                <w:sz w:val="18"/>
                <w:szCs w:val="18"/>
              </w:rPr>
            </w:pPr>
            <w:r>
              <w:rPr>
                <w:rFonts w:ascii="Arial" w:hAnsi="Arial" w:cs="Arial"/>
                <w:b/>
                <w:bCs/>
                <w:snapToGrid w:val="0"/>
                <w:sz w:val="18"/>
                <w:szCs w:val="18"/>
              </w:rPr>
              <w:t>Gaza Strip</w:t>
            </w:r>
          </w:p>
          <w:p w:rsidR="00461B79" w:rsidRDefault="00461B79" w:rsidP="00461B79">
            <w:pPr>
              <w:bidi w:val="0"/>
              <w:ind w:left="-115"/>
              <w:jc w:val="center"/>
              <w:rPr>
                <w:rFonts w:ascii="Arial" w:hAnsi="Arial" w:cs="Arial"/>
                <w:b/>
                <w:bCs/>
                <w:sz w:val="18"/>
                <w:szCs w:val="18"/>
                <w:lang w:eastAsia="en-US"/>
              </w:rPr>
            </w:pPr>
          </w:p>
        </w:tc>
      </w:tr>
      <w:tr w:rsidR="00461B79" w:rsidTr="00D27235">
        <w:trPr>
          <w:trHeight w:val="312"/>
          <w:jc w:val="center"/>
        </w:trPr>
        <w:tc>
          <w:tcPr>
            <w:tcW w:w="2084" w:type="pct"/>
            <w:vMerge/>
            <w:tcBorders>
              <w:left w:val="single" w:sz="4" w:space="0" w:color="auto"/>
              <w:bottom w:val="single" w:sz="4" w:space="0" w:color="auto"/>
            </w:tcBorders>
            <w:vAlign w:val="center"/>
          </w:tcPr>
          <w:p w:rsidR="00461B79" w:rsidRDefault="00461B79" w:rsidP="00461B79">
            <w:pPr>
              <w:bidi w:val="0"/>
              <w:jc w:val="right"/>
              <w:rPr>
                <w:rFonts w:ascii="Arial" w:hAnsi="Arial" w:cs="Arial"/>
                <w:snapToGrid w:val="0"/>
                <w:sz w:val="18"/>
                <w:szCs w:val="18"/>
              </w:rPr>
            </w:pPr>
          </w:p>
        </w:tc>
        <w:tc>
          <w:tcPr>
            <w:tcW w:w="487" w:type="pct"/>
            <w:tcBorders>
              <w:top w:val="single" w:sz="4" w:space="0" w:color="auto"/>
              <w:bottom w:val="single" w:sz="4" w:space="0" w:color="auto"/>
              <w:right w:val="single" w:sz="4" w:space="0" w:color="auto"/>
            </w:tcBorders>
            <w:vAlign w:val="center"/>
          </w:tcPr>
          <w:p w:rsidR="00461B79" w:rsidRDefault="00AD3354" w:rsidP="00461B79">
            <w:pPr>
              <w:bidi w:val="0"/>
              <w:jc w:val="center"/>
              <w:rPr>
                <w:rFonts w:ascii="Arial" w:hAnsi="Arial" w:cs="Arial"/>
                <w:sz w:val="18"/>
                <w:szCs w:val="18"/>
              </w:rPr>
            </w:pPr>
            <w:r>
              <w:rPr>
                <w:rFonts w:ascii="Arial" w:hAnsi="Arial" w:cs="Arial"/>
                <w:sz w:val="18"/>
                <w:szCs w:val="18"/>
              </w:rPr>
              <w:t>2009</w:t>
            </w:r>
          </w:p>
        </w:tc>
        <w:tc>
          <w:tcPr>
            <w:tcW w:w="487" w:type="pct"/>
            <w:tcBorders>
              <w:top w:val="single" w:sz="4" w:space="0" w:color="auto"/>
              <w:left w:val="single" w:sz="4" w:space="0" w:color="auto"/>
              <w:bottom w:val="single" w:sz="4" w:space="0" w:color="auto"/>
              <w:right w:val="single" w:sz="4" w:space="0" w:color="auto"/>
            </w:tcBorders>
            <w:vAlign w:val="center"/>
          </w:tcPr>
          <w:p w:rsidR="00461B79" w:rsidRDefault="00EF36E5" w:rsidP="00461B79">
            <w:pPr>
              <w:bidi w:val="0"/>
              <w:jc w:val="center"/>
              <w:rPr>
                <w:rFonts w:ascii="Arial" w:hAnsi="Arial" w:cs="Arial"/>
                <w:sz w:val="18"/>
                <w:szCs w:val="18"/>
              </w:rPr>
            </w:pPr>
            <w:r>
              <w:rPr>
                <w:rFonts w:ascii="Arial" w:hAnsi="Arial" w:cs="Arial"/>
                <w:sz w:val="18"/>
                <w:szCs w:val="18"/>
              </w:rPr>
              <w:t>2010</w:t>
            </w:r>
          </w:p>
        </w:tc>
        <w:tc>
          <w:tcPr>
            <w:tcW w:w="487" w:type="pct"/>
            <w:tcBorders>
              <w:top w:val="single" w:sz="4" w:space="0" w:color="auto"/>
              <w:left w:val="single" w:sz="4" w:space="0" w:color="auto"/>
              <w:bottom w:val="single" w:sz="4" w:space="0" w:color="auto"/>
              <w:right w:val="single" w:sz="4" w:space="0" w:color="auto"/>
            </w:tcBorders>
            <w:vAlign w:val="center"/>
          </w:tcPr>
          <w:p w:rsidR="00461B79" w:rsidRDefault="00AD3354" w:rsidP="00461B79">
            <w:pPr>
              <w:bidi w:val="0"/>
              <w:jc w:val="center"/>
              <w:rPr>
                <w:rFonts w:ascii="Arial" w:hAnsi="Arial" w:cs="Arial"/>
                <w:sz w:val="18"/>
                <w:szCs w:val="18"/>
              </w:rPr>
            </w:pPr>
            <w:r>
              <w:rPr>
                <w:rFonts w:ascii="Arial" w:hAnsi="Arial" w:cs="Arial"/>
                <w:sz w:val="18"/>
                <w:szCs w:val="18"/>
              </w:rPr>
              <w:t>2009</w:t>
            </w:r>
          </w:p>
        </w:tc>
        <w:tc>
          <w:tcPr>
            <w:tcW w:w="486" w:type="pct"/>
            <w:tcBorders>
              <w:top w:val="single" w:sz="4" w:space="0" w:color="auto"/>
              <w:left w:val="single" w:sz="4" w:space="0" w:color="auto"/>
              <w:bottom w:val="single" w:sz="4" w:space="0" w:color="auto"/>
              <w:right w:val="single" w:sz="4" w:space="0" w:color="auto"/>
            </w:tcBorders>
            <w:vAlign w:val="center"/>
          </w:tcPr>
          <w:p w:rsidR="00461B79" w:rsidRDefault="00EF36E5" w:rsidP="00461B79">
            <w:pPr>
              <w:bidi w:val="0"/>
              <w:jc w:val="center"/>
              <w:rPr>
                <w:rFonts w:ascii="Arial" w:hAnsi="Arial" w:cs="Arial"/>
                <w:sz w:val="18"/>
                <w:szCs w:val="18"/>
              </w:rPr>
            </w:pPr>
            <w:r>
              <w:rPr>
                <w:rFonts w:ascii="Arial" w:hAnsi="Arial" w:cs="Arial"/>
                <w:sz w:val="18"/>
                <w:szCs w:val="18"/>
              </w:rPr>
              <w:t>2010</w:t>
            </w:r>
          </w:p>
        </w:tc>
        <w:tc>
          <w:tcPr>
            <w:tcW w:w="486" w:type="pct"/>
            <w:tcBorders>
              <w:top w:val="single" w:sz="4" w:space="0" w:color="auto"/>
              <w:left w:val="single" w:sz="4" w:space="0" w:color="auto"/>
              <w:bottom w:val="single" w:sz="4" w:space="0" w:color="auto"/>
              <w:right w:val="single" w:sz="4" w:space="0" w:color="auto"/>
            </w:tcBorders>
            <w:vAlign w:val="center"/>
          </w:tcPr>
          <w:p w:rsidR="00461B79" w:rsidRDefault="00AD3354" w:rsidP="00461B79">
            <w:pPr>
              <w:bidi w:val="0"/>
              <w:jc w:val="center"/>
              <w:rPr>
                <w:rFonts w:ascii="Arial" w:hAnsi="Arial" w:cs="Arial"/>
                <w:sz w:val="18"/>
                <w:szCs w:val="18"/>
              </w:rPr>
            </w:pPr>
            <w:r>
              <w:rPr>
                <w:rFonts w:ascii="Arial" w:hAnsi="Arial" w:cs="Arial"/>
                <w:sz w:val="18"/>
                <w:szCs w:val="18"/>
              </w:rPr>
              <w:t>2009</w:t>
            </w:r>
          </w:p>
        </w:tc>
        <w:tc>
          <w:tcPr>
            <w:tcW w:w="483" w:type="pct"/>
            <w:tcBorders>
              <w:top w:val="single" w:sz="4" w:space="0" w:color="auto"/>
              <w:left w:val="single" w:sz="4" w:space="0" w:color="auto"/>
              <w:bottom w:val="single" w:sz="4" w:space="0" w:color="auto"/>
              <w:right w:val="single" w:sz="4" w:space="0" w:color="auto"/>
            </w:tcBorders>
            <w:vAlign w:val="center"/>
          </w:tcPr>
          <w:p w:rsidR="00461B79" w:rsidRDefault="00EF36E5" w:rsidP="00461B79">
            <w:pPr>
              <w:bidi w:val="0"/>
              <w:jc w:val="center"/>
              <w:rPr>
                <w:rFonts w:ascii="Arial" w:hAnsi="Arial" w:cs="Arial"/>
                <w:sz w:val="18"/>
                <w:szCs w:val="18"/>
              </w:rPr>
            </w:pPr>
            <w:r>
              <w:rPr>
                <w:rFonts w:ascii="Arial" w:hAnsi="Arial" w:cs="Arial"/>
                <w:sz w:val="18"/>
                <w:szCs w:val="18"/>
              </w:rPr>
              <w:t>2010</w:t>
            </w:r>
          </w:p>
        </w:tc>
      </w:tr>
      <w:tr w:rsidR="00E1699F" w:rsidTr="00D27235">
        <w:trPr>
          <w:trHeight w:val="312"/>
          <w:jc w:val="center"/>
        </w:trPr>
        <w:tc>
          <w:tcPr>
            <w:tcW w:w="2084" w:type="pct"/>
            <w:tcBorders>
              <w:top w:val="single" w:sz="4" w:space="0" w:color="auto"/>
              <w:bottom w:val="nil"/>
              <w:right w:val="single" w:sz="4" w:space="0" w:color="auto"/>
            </w:tcBorders>
            <w:vAlign w:val="center"/>
          </w:tcPr>
          <w:p w:rsidR="00E1699F" w:rsidRDefault="00E1699F" w:rsidP="00EF36E5">
            <w:pPr>
              <w:bidi w:val="0"/>
              <w:rPr>
                <w:rFonts w:ascii="Arial" w:hAnsi="Arial" w:cs="Arial"/>
                <w:snapToGrid w:val="0"/>
                <w:sz w:val="18"/>
                <w:szCs w:val="18"/>
              </w:rPr>
            </w:pPr>
            <w:r>
              <w:rPr>
                <w:rFonts w:ascii="Arial" w:hAnsi="Arial" w:cs="Arial"/>
                <w:snapToGrid w:val="0"/>
                <w:sz w:val="18"/>
                <w:szCs w:val="18"/>
              </w:rPr>
              <w:t>Agriculture and fishing</w:t>
            </w:r>
          </w:p>
        </w:tc>
        <w:tc>
          <w:tcPr>
            <w:tcW w:w="487" w:type="pct"/>
            <w:tcBorders>
              <w:top w:val="single" w:sz="4" w:space="0" w:color="auto"/>
              <w:left w:val="single" w:sz="4" w:space="0" w:color="auto"/>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Pr>
                <w:rFonts w:ascii="Arial" w:hAnsi="Arial" w:cs="Arial"/>
                <w:color w:val="000000"/>
                <w:sz w:val="18"/>
                <w:szCs w:val="18"/>
              </w:rPr>
              <w:t>5.6</w:t>
            </w:r>
          </w:p>
        </w:tc>
        <w:tc>
          <w:tcPr>
            <w:tcW w:w="487" w:type="pct"/>
            <w:tcBorders>
              <w:top w:val="single" w:sz="4" w:space="0" w:color="auto"/>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5.5</w:t>
            </w:r>
          </w:p>
        </w:tc>
        <w:tc>
          <w:tcPr>
            <w:tcW w:w="487" w:type="pct"/>
            <w:tcBorders>
              <w:top w:val="single" w:sz="4" w:space="0" w:color="auto"/>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5.0</w:t>
            </w:r>
          </w:p>
        </w:tc>
        <w:tc>
          <w:tcPr>
            <w:tcW w:w="486" w:type="pct"/>
            <w:tcBorders>
              <w:top w:val="single" w:sz="4" w:space="0" w:color="auto"/>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5.0</w:t>
            </w:r>
          </w:p>
        </w:tc>
        <w:tc>
          <w:tcPr>
            <w:tcW w:w="486" w:type="pct"/>
            <w:tcBorders>
              <w:top w:val="single" w:sz="4" w:space="0" w:color="auto"/>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7.5</w:t>
            </w:r>
          </w:p>
        </w:tc>
        <w:tc>
          <w:tcPr>
            <w:tcW w:w="483" w:type="pct"/>
            <w:tcBorders>
              <w:top w:val="single" w:sz="4" w:space="0" w:color="auto"/>
              <w:left w:val="nil"/>
              <w:bottom w:val="nil"/>
              <w:right w:val="single" w:sz="4" w:space="0" w:color="auto"/>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6.8</w:t>
            </w:r>
          </w:p>
        </w:tc>
      </w:tr>
      <w:tr w:rsidR="00E1699F" w:rsidTr="00D27235">
        <w:trPr>
          <w:trHeight w:val="312"/>
          <w:jc w:val="center"/>
        </w:trPr>
        <w:tc>
          <w:tcPr>
            <w:tcW w:w="2084" w:type="pct"/>
            <w:tcBorders>
              <w:top w:val="nil"/>
              <w:bottom w:val="nil"/>
              <w:right w:val="single" w:sz="4" w:space="0" w:color="auto"/>
            </w:tcBorders>
            <w:vAlign w:val="center"/>
          </w:tcPr>
          <w:p w:rsidR="00E1699F" w:rsidRDefault="00E1699F" w:rsidP="00EF36E5">
            <w:pPr>
              <w:bidi w:val="0"/>
              <w:rPr>
                <w:rFonts w:ascii="Arial" w:hAnsi="Arial" w:cs="Arial"/>
                <w:snapToGrid w:val="0"/>
                <w:sz w:val="18"/>
                <w:szCs w:val="18"/>
              </w:rPr>
            </w:pPr>
            <w:r>
              <w:rPr>
                <w:rFonts w:ascii="Arial" w:hAnsi="Arial" w:cs="Arial"/>
                <w:snapToGrid w:val="0"/>
                <w:sz w:val="18"/>
                <w:szCs w:val="18"/>
              </w:rPr>
              <w:t>Mining, manufacturing, electricity and water</w:t>
            </w:r>
          </w:p>
        </w:tc>
        <w:tc>
          <w:tcPr>
            <w:tcW w:w="487" w:type="pct"/>
            <w:tcBorders>
              <w:top w:val="nil"/>
              <w:left w:val="single" w:sz="4" w:space="0" w:color="auto"/>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13.2</w:t>
            </w:r>
          </w:p>
        </w:tc>
        <w:tc>
          <w:tcPr>
            <w:tcW w:w="487"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12.9</w:t>
            </w:r>
          </w:p>
        </w:tc>
        <w:tc>
          <w:tcPr>
            <w:tcW w:w="487"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15.2</w:t>
            </w:r>
          </w:p>
        </w:tc>
        <w:tc>
          <w:tcPr>
            <w:tcW w:w="486"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14.0</w:t>
            </w:r>
          </w:p>
        </w:tc>
        <w:tc>
          <w:tcPr>
            <w:tcW w:w="486"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6.8</w:t>
            </w:r>
          </w:p>
        </w:tc>
        <w:tc>
          <w:tcPr>
            <w:tcW w:w="483" w:type="pct"/>
            <w:tcBorders>
              <w:top w:val="nil"/>
              <w:left w:val="nil"/>
              <w:bottom w:val="nil"/>
              <w:right w:val="single" w:sz="4" w:space="0" w:color="auto"/>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9.</w:t>
            </w:r>
            <w:r w:rsidR="00EA43AD">
              <w:rPr>
                <w:rFonts w:ascii="Arial" w:hAnsi="Arial" w:cs="Arial"/>
                <w:color w:val="000000"/>
                <w:sz w:val="18"/>
                <w:szCs w:val="18"/>
              </w:rPr>
              <w:t>9</w:t>
            </w:r>
          </w:p>
        </w:tc>
      </w:tr>
      <w:tr w:rsidR="00E1699F" w:rsidTr="00D27235">
        <w:trPr>
          <w:trHeight w:val="312"/>
          <w:jc w:val="center"/>
        </w:trPr>
        <w:tc>
          <w:tcPr>
            <w:tcW w:w="2084" w:type="pct"/>
            <w:tcBorders>
              <w:top w:val="nil"/>
              <w:bottom w:val="nil"/>
            </w:tcBorders>
            <w:vAlign w:val="center"/>
          </w:tcPr>
          <w:p w:rsidR="00E1699F" w:rsidRDefault="00E1699F" w:rsidP="00EF36E5">
            <w:pPr>
              <w:bidi w:val="0"/>
              <w:rPr>
                <w:rFonts w:ascii="Arial" w:hAnsi="Arial" w:cs="Arial"/>
                <w:snapToGrid w:val="0"/>
                <w:sz w:val="18"/>
                <w:szCs w:val="18"/>
              </w:rPr>
            </w:pPr>
            <w:r>
              <w:rPr>
                <w:rFonts w:ascii="Arial" w:hAnsi="Arial" w:cs="Arial"/>
                <w:snapToGrid w:val="0"/>
                <w:sz w:val="18"/>
                <w:szCs w:val="18"/>
              </w:rPr>
              <w:t>Construction</w:t>
            </w:r>
          </w:p>
        </w:tc>
        <w:tc>
          <w:tcPr>
            <w:tcW w:w="487" w:type="pct"/>
            <w:tcBorders>
              <w:top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7.4</w:t>
            </w:r>
          </w:p>
        </w:tc>
        <w:tc>
          <w:tcPr>
            <w:tcW w:w="487"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9.7</w:t>
            </w:r>
          </w:p>
        </w:tc>
        <w:tc>
          <w:tcPr>
            <w:tcW w:w="487"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8.7</w:t>
            </w:r>
          </w:p>
        </w:tc>
        <w:tc>
          <w:tcPr>
            <w:tcW w:w="486"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10.</w:t>
            </w:r>
            <w:r w:rsidR="00EA43AD">
              <w:rPr>
                <w:rFonts w:ascii="Arial" w:hAnsi="Arial" w:cs="Arial"/>
                <w:color w:val="000000"/>
                <w:sz w:val="18"/>
                <w:szCs w:val="18"/>
              </w:rPr>
              <w:t>3</w:t>
            </w:r>
          </w:p>
        </w:tc>
        <w:tc>
          <w:tcPr>
            <w:tcW w:w="486"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3.3</w:t>
            </w:r>
          </w:p>
        </w:tc>
        <w:tc>
          <w:tcPr>
            <w:tcW w:w="483" w:type="pct"/>
            <w:tcBorders>
              <w:top w:val="nil"/>
              <w:left w:val="nil"/>
              <w:bottom w:val="nil"/>
              <w:right w:val="single" w:sz="4" w:space="0" w:color="auto"/>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7.9</w:t>
            </w:r>
          </w:p>
        </w:tc>
      </w:tr>
      <w:tr w:rsidR="00E1699F" w:rsidTr="00D27235">
        <w:trPr>
          <w:trHeight w:val="312"/>
          <w:jc w:val="center"/>
        </w:trPr>
        <w:tc>
          <w:tcPr>
            <w:tcW w:w="2084" w:type="pct"/>
            <w:tcBorders>
              <w:top w:val="nil"/>
              <w:bottom w:val="nil"/>
            </w:tcBorders>
            <w:vAlign w:val="center"/>
          </w:tcPr>
          <w:p w:rsidR="00E1699F" w:rsidRDefault="00E1699F" w:rsidP="00EF36E5">
            <w:pPr>
              <w:bidi w:val="0"/>
              <w:rPr>
                <w:rFonts w:ascii="Arial" w:hAnsi="Arial" w:cs="Arial"/>
                <w:snapToGrid w:val="0"/>
                <w:sz w:val="18"/>
                <w:szCs w:val="18"/>
              </w:rPr>
            </w:pPr>
            <w:r>
              <w:rPr>
                <w:rFonts w:ascii="Arial" w:hAnsi="Arial" w:cs="Arial"/>
                <w:snapToGrid w:val="0"/>
                <w:sz w:val="18"/>
                <w:szCs w:val="18"/>
              </w:rPr>
              <w:t>Wholesale and retail trade</w:t>
            </w:r>
          </w:p>
        </w:tc>
        <w:tc>
          <w:tcPr>
            <w:tcW w:w="487" w:type="pct"/>
            <w:tcBorders>
              <w:top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10.2</w:t>
            </w:r>
          </w:p>
        </w:tc>
        <w:tc>
          <w:tcPr>
            <w:tcW w:w="487"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9.4</w:t>
            </w:r>
          </w:p>
        </w:tc>
        <w:tc>
          <w:tcPr>
            <w:tcW w:w="487"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11.1</w:t>
            </w:r>
          </w:p>
        </w:tc>
        <w:tc>
          <w:tcPr>
            <w:tcW w:w="486"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9.5</w:t>
            </w:r>
          </w:p>
        </w:tc>
        <w:tc>
          <w:tcPr>
            <w:tcW w:w="486"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7.6</w:t>
            </w:r>
          </w:p>
        </w:tc>
        <w:tc>
          <w:tcPr>
            <w:tcW w:w="483" w:type="pct"/>
            <w:tcBorders>
              <w:top w:val="nil"/>
              <w:left w:val="nil"/>
              <w:bottom w:val="nil"/>
              <w:right w:val="single" w:sz="4" w:space="0" w:color="auto"/>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9.</w:t>
            </w:r>
            <w:r w:rsidR="00EA43AD">
              <w:rPr>
                <w:rFonts w:ascii="Arial" w:hAnsi="Arial" w:cs="Arial"/>
                <w:color w:val="000000"/>
                <w:sz w:val="18"/>
                <w:szCs w:val="18"/>
              </w:rPr>
              <w:t>1</w:t>
            </w:r>
          </w:p>
        </w:tc>
      </w:tr>
      <w:tr w:rsidR="00E1699F" w:rsidTr="00D27235">
        <w:trPr>
          <w:trHeight w:val="312"/>
          <w:jc w:val="center"/>
        </w:trPr>
        <w:tc>
          <w:tcPr>
            <w:tcW w:w="2084" w:type="pct"/>
            <w:tcBorders>
              <w:top w:val="nil"/>
              <w:bottom w:val="nil"/>
            </w:tcBorders>
            <w:vAlign w:val="center"/>
          </w:tcPr>
          <w:p w:rsidR="00E1699F" w:rsidRDefault="00E1699F" w:rsidP="00E1699F">
            <w:pPr>
              <w:bidi w:val="0"/>
              <w:rPr>
                <w:rFonts w:ascii="Arial" w:hAnsi="Arial" w:cs="Arial"/>
                <w:snapToGrid w:val="0"/>
                <w:sz w:val="18"/>
                <w:szCs w:val="18"/>
              </w:rPr>
            </w:pPr>
            <w:r>
              <w:rPr>
                <w:rFonts w:ascii="Arial" w:hAnsi="Arial" w:cs="Arial"/>
                <w:snapToGrid w:val="0"/>
                <w:sz w:val="18"/>
                <w:szCs w:val="18"/>
              </w:rPr>
              <w:t xml:space="preserve">Transport and Storage </w:t>
            </w:r>
          </w:p>
        </w:tc>
        <w:tc>
          <w:tcPr>
            <w:tcW w:w="487" w:type="pct"/>
            <w:tcBorders>
              <w:top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2.5</w:t>
            </w:r>
          </w:p>
        </w:tc>
        <w:tc>
          <w:tcPr>
            <w:tcW w:w="487"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2.1</w:t>
            </w:r>
          </w:p>
        </w:tc>
        <w:tc>
          <w:tcPr>
            <w:tcW w:w="487"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3.1</w:t>
            </w:r>
          </w:p>
        </w:tc>
        <w:tc>
          <w:tcPr>
            <w:tcW w:w="486"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2.5</w:t>
            </w:r>
          </w:p>
        </w:tc>
        <w:tc>
          <w:tcPr>
            <w:tcW w:w="486"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0.9</w:t>
            </w:r>
          </w:p>
        </w:tc>
        <w:tc>
          <w:tcPr>
            <w:tcW w:w="483" w:type="pct"/>
            <w:tcBorders>
              <w:top w:val="nil"/>
              <w:left w:val="nil"/>
              <w:bottom w:val="nil"/>
              <w:right w:val="single" w:sz="4" w:space="0" w:color="auto"/>
            </w:tcBorders>
            <w:vAlign w:val="center"/>
          </w:tcPr>
          <w:p w:rsidR="00E1699F" w:rsidRPr="00621AC3" w:rsidRDefault="00EA43AD" w:rsidP="00D27235">
            <w:pPr>
              <w:ind w:firstLineChars="100" w:firstLine="180"/>
              <w:rPr>
                <w:rFonts w:ascii="Arial" w:hAnsi="Arial" w:cs="Arial"/>
                <w:color w:val="000000"/>
                <w:sz w:val="18"/>
                <w:szCs w:val="18"/>
              </w:rPr>
            </w:pPr>
            <w:r>
              <w:rPr>
                <w:rFonts w:ascii="Arial" w:hAnsi="Arial" w:cs="Arial"/>
                <w:color w:val="000000"/>
                <w:sz w:val="18"/>
                <w:szCs w:val="18"/>
              </w:rPr>
              <w:t>1.0</w:t>
            </w:r>
          </w:p>
        </w:tc>
      </w:tr>
      <w:tr w:rsidR="00E1699F" w:rsidTr="00D27235">
        <w:trPr>
          <w:trHeight w:val="312"/>
          <w:jc w:val="center"/>
        </w:trPr>
        <w:tc>
          <w:tcPr>
            <w:tcW w:w="2084" w:type="pct"/>
            <w:tcBorders>
              <w:top w:val="nil"/>
              <w:bottom w:val="nil"/>
            </w:tcBorders>
            <w:vAlign w:val="center"/>
          </w:tcPr>
          <w:p w:rsidR="00E1699F" w:rsidRDefault="00E1699F" w:rsidP="00EF36E5">
            <w:pPr>
              <w:bidi w:val="0"/>
              <w:rPr>
                <w:rFonts w:ascii="Arial" w:hAnsi="Arial" w:cs="Arial"/>
                <w:snapToGrid w:val="0"/>
                <w:sz w:val="18"/>
                <w:szCs w:val="18"/>
              </w:rPr>
            </w:pPr>
            <w:r>
              <w:rPr>
                <w:rFonts w:ascii="Arial" w:hAnsi="Arial" w:cs="Arial"/>
                <w:snapToGrid w:val="0"/>
                <w:sz w:val="18"/>
                <w:szCs w:val="18"/>
              </w:rPr>
              <w:t>Financial intermediation</w:t>
            </w:r>
          </w:p>
        </w:tc>
        <w:tc>
          <w:tcPr>
            <w:tcW w:w="487" w:type="pct"/>
            <w:tcBorders>
              <w:top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5.1</w:t>
            </w:r>
          </w:p>
        </w:tc>
        <w:tc>
          <w:tcPr>
            <w:tcW w:w="487"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4.9</w:t>
            </w:r>
          </w:p>
        </w:tc>
        <w:tc>
          <w:tcPr>
            <w:tcW w:w="487"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5.7</w:t>
            </w:r>
          </w:p>
        </w:tc>
        <w:tc>
          <w:tcPr>
            <w:tcW w:w="486"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5.8</w:t>
            </w:r>
          </w:p>
        </w:tc>
        <w:tc>
          <w:tcPr>
            <w:tcW w:w="486"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3.3</w:t>
            </w:r>
          </w:p>
        </w:tc>
        <w:tc>
          <w:tcPr>
            <w:tcW w:w="483" w:type="pct"/>
            <w:tcBorders>
              <w:top w:val="nil"/>
              <w:left w:val="nil"/>
              <w:bottom w:val="nil"/>
              <w:right w:val="single" w:sz="4" w:space="0" w:color="auto"/>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2.1</w:t>
            </w:r>
          </w:p>
        </w:tc>
      </w:tr>
      <w:tr w:rsidR="00E1699F" w:rsidTr="00D27235">
        <w:trPr>
          <w:trHeight w:val="312"/>
          <w:jc w:val="center"/>
        </w:trPr>
        <w:tc>
          <w:tcPr>
            <w:tcW w:w="2084" w:type="pct"/>
            <w:tcBorders>
              <w:top w:val="nil"/>
              <w:bottom w:val="nil"/>
            </w:tcBorders>
            <w:vAlign w:val="center"/>
          </w:tcPr>
          <w:p w:rsidR="00E1699F" w:rsidRDefault="00E1699F" w:rsidP="00EF36E5">
            <w:pPr>
              <w:bidi w:val="0"/>
              <w:rPr>
                <w:rFonts w:ascii="Arial" w:hAnsi="Arial" w:cs="Arial"/>
                <w:snapToGrid w:val="0"/>
                <w:sz w:val="18"/>
                <w:szCs w:val="18"/>
              </w:rPr>
            </w:pPr>
            <w:r>
              <w:rPr>
                <w:rFonts w:ascii="Arial" w:hAnsi="Arial" w:cs="Arial"/>
                <w:snapToGrid w:val="0"/>
                <w:sz w:val="18"/>
                <w:szCs w:val="18"/>
              </w:rPr>
              <w:t>Information and Communication</w:t>
            </w:r>
          </w:p>
        </w:tc>
        <w:tc>
          <w:tcPr>
            <w:tcW w:w="487" w:type="pct"/>
            <w:tcBorders>
              <w:top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7.3</w:t>
            </w:r>
          </w:p>
        </w:tc>
        <w:tc>
          <w:tcPr>
            <w:tcW w:w="487"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6.7</w:t>
            </w:r>
          </w:p>
        </w:tc>
        <w:tc>
          <w:tcPr>
            <w:tcW w:w="487"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9.4</w:t>
            </w:r>
          </w:p>
        </w:tc>
        <w:tc>
          <w:tcPr>
            <w:tcW w:w="486"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9.</w:t>
            </w:r>
            <w:r w:rsidR="00957F97">
              <w:rPr>
                <w:rFonts w:ascii="Arial" w:hAnsi="Arial" w:cs="Arial"/>
                <w:color w:val="000000"/>
                <w:sz w:val="18"/>
                <w:szCs w:val="18"/>
              </w:rPr>
              <w:t>0</w:t>
            </w:r>
          </w:p>
        </w:tc>
        <w:tc>
          <w:tcPr>
            <w:tcW w:w="486"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0.4</w:t>
            </w:r>
          </w:p>
        </w:tc>
        <w:tc>
          <w:tcPr>
            <w:tcW w:w="483" w:type="pct"/>
            <w:tcBorders>
              <w:top w:val="nil"/>
              <w:left w:val="nil"/>
              <w:bottom w:val="nil"/>
              <w:right w:val="single" w:sz="4" w:space="0" w:color="auto"/>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0.3</w:t>
            </w:r>
          </w:p>
        </w:tc>
      </w:tr>
      <w:tr w:rsidR="00E1699F" w:rsidTr="00D27235">
        <w:trPr>
          <w:trHeight w:val="312"/>
          <w:jc w:val="center"/>
        </w:trPr>
        <w:tc>
          <w:tcPr>
            <w:tcW w:w="2084" w:type="pct"/>
            <w:tcBorders>
              <w:top w:val="nil"/>
              <w:bottom w:val="nil"/>
            </w:tcBorders>
            <w:vAlign w:val="center"/>
          </w:tcPr>
          <w:p w:rsidR="00E1699F" w:rsidRDefault="00E1699F" w:rsidP="00EF36E5">
            <w:pPr>
              <w:bidi w:val="0"/>
              <w:rPr>
                <w:rFonts w:ascii="Arial" w:hAnsi="Arial" w:cs="Arial"/>
                <w:snapToGrid w:val="0"/>
                <w:sz w:val="18"/>
                <w:szCs w:val="18"/>
              </w:rPr>
            </w:pPr>
            <w:r>
              <w:rPr>
                <w:rFonts w:ascii="Arial" w:hAnsi="Arial" w:cs="Arial"/>
                <w:snapToGrid w:val="0"/>
                <w:sz w:val="18"/>
                <w:szCs w:val="18"/>
              </w:rPr>
              <w:t>Services</w:t>
            </w:r>
          </w:p>
        </w:tc>
        <w:tc>
          <w:tcPr>
            <w:tcW w:w="487" w:type="pct"/>
            <w:tcBorders>
              <w:top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22.0</w:t>
            </w:r>
          </w:p>
        </w:tc>
        <w:tc>
          <w:tcPr>
            <w:tcW w:w="487"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22.0</w:t>
            </w:r>
          </w:p>
        </w:tc>
        <w:tc>
          <w:tcPr>
            <w:tcW w:w="487"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17.5</w:t>
            </w:r>
          </w:p>
        </w:tc>
        <w:tc>
          <w:tcPr>
            <w:tcW w:w="486" w:type="pct"/>
            <w:tcBorders>
              <w:top w:val="nil"/>
              <w:left w:val="nil"/>
              <w:bottom w:val="nil"/>
              <w:right w:val="nil"/>
            </w:tcBorders>
            <w:vAlign w:val="center"/>
          </w:tcPr>
          <w:p w:rsidR="00E1699F" w:rsidRPr="00621AC3" w:rsidRDefault="00EA43AD" w:rsidP="00D27235">
            <w:pPr>
              <w:ind w:firstLineChars="100" w:firstLine="180"/>
              <w:rPr>
                <w:rFonts w:ascii="Arial" w:hAnsi="Arial" w:cs="Arial"/>
                <w:color w:val="000000"/>
                <w:sz w:val="18"/>
                <w:szCs w:val="18"/>
              </w:rPr>
            </w:pPr>
            <w:r>
              <w:rPr>
                <w:rFonts w:ascii="Arial" w:hAnsi="Arial" w:cs="Arial"/>
                <w:color w:val="000000"/>
                <w:sz w:val="18"/>
                <w:szCs w:val="18"/>
              </w:rPr>
              <w:t>18</w:t>
            </w:r>
            <w:r w:rsidR="00E1699F" w:rsidRPr="00621AC3">
              <w:rPr>
                <w:rFonts w:ascii="Arial" w:hAnsi="Arial" w:cs="Arial"/>
                <w:color w:val="000000"/>
                <w:sz w:val="18"/>
                <w:szCs w:val="18"/>
              </w:rPr>
              <w:t>.</w:t>
            </w:r>
            <w:r>
              <w:rPr>
                <w:rFonts w:ascii="Arial" w:hAnsi="Arial" w:cs="Arial"/>
                <w:color w:val="000000"/>
                <w:sz w:val="18"/>
                <w:szCs w:val="18"/>
              </w:rPr>
              <w:t>0</w:t>
            </w:r>
          </w:p>
        </w:tc>
        <w:tc>
          <w:tcPr>
            <w:tcW w:w="486"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36.0</w:t>
            </w:r>
          </w:p>
        </w:tc>
        <w:tc>
          <w:tcPr>
            <w:tcW w:w="483" w:type="pct"/>
            <w:tcBorders>
              <w:top w:val="nil"/>
              <w:left w:val="nil"/>
              <w:bottom w:val="nil"/>
              <w:right w:val="single" w:sz="4" w:space="0" w:color="auto"/>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33.</w:t>
            </w:r>
            <w:r w:rsidR="00EA43AD">
              <w:rPr>
                <w:rFonts w:ascii="Arial" w:hAnsi="Arial" w:cs="Arial"/>
                <w:color w:val="000000"/>
                <w:sz w:val="18"/>
                <w:szCs w:val="18"/>
              </w:rPr>
              <w:t>3</w:t>
            </w:r>
          </w:p>
        </w:tc>
      </w:tr>
      <w:tr w:rsidR="00E1699F" w:rsidTr="00D27235">
        <w:trPr>
          <w:trHeight w:val="312"/>
          <w:jc w:val="center"/>
        </w:trPr>
        <w:tc>
          <w:tcPr>
            <w:tcW w:w="2084" w:type="pct"/>
            <w:tcBorders>
              <w:top w:val="nil"/>
              <w:bottom w:val="nil"/>
            </w:tcBorders>
            <w:vAlign w:val="center"/>
          </w:tcPr>
          <w:p w:rsidR="00E1699F" w:rsidRDefault="00E1699F" w:rsidP="00EF36E5">
            <w:pPr>
              <w:bidi w:val="0"/>
              <w:rPr>
                <w:rFonts w:ascii="Arial" w:hAnsi="Arial" w:cs="Arial"/>
                <w:snapToGrid w:val="0"/>
                <w:sz w:val="18"/>
                <w:szCs w:val="18"/>
              </w:rPr>
            </w:pPr>
            <w:r>
              <w:rPr>
                <w:rFonts w:ascii="Arial" w:hAnsi="Arial" w:cs="Arial"/>
                <w:snapToGrid w:val="0"/>
                <w:sz w:val="18"/>
                <w:szCs w:val="18"/>
              </w:rPr>
              <w:t>Public administration and defense</w:t>
            </w:r>
          </w:p>
        </w:tc>
        <w:tc>
          <w:tcPr>
            <w:tcW w:w="487" w:type="pct"/>
            <w:tcBorders>
              <w:top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14.3</w:t>
            </w:r>
          </w:p>
        </w:tc>
        <w:tc>
          <w:tcPr>
            <w:tcW w:w="487"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13.6</w:t>
            </w:r>
          </w:p>
        </w:tc>
        <w:tc>
          <w:tcPr>
            <w:tcW w:w="487"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9.7</w:t>
            </w:r>
          </w:p>
        </w:tc>
        <w:tc>
          <w:tcPr>
            <w:tcW w:w="486"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9.1</w:t>
            </w:r>
          </w:p>
        </w:tc>
        <w:tc>
          <w:tcPr>
            <w:tcW w:w="486" w:type="pct"/>
            <w:tcBorders>
              <w:top w:val="nil"/>
              <w:left w:val="nil"/>
              <w:bottom w:val="nil"/>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28.9</w:t>
            </w:r>
          </w:p>
        </w:tc>
        <w:tc>
          <w:tcPr>
            <w:tcW w:w="483" w:type="pct"/>
            <w:tcBorders>
              <w:top w:val="nil"/>
              <w:left w:val="nil"/>
              <w:bottom w:val="nil"/>
              <w:right w:val="single" w:sz="4" w:space="0" w:color="auto"/>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26.</w:t>
            </w:r>
            <w:r w:rsidR="00EA43AD">
              <w:rPr>
                <w:rFonts w:ascii="Arial" w:hAnsi="Arial" w:cs="Arial"/>
                <w:color w:val="000000"/>
                <w:sz w:val="18"/>
                <w:szCs w:val="18"/>
              </w:rPr>
              <w:t>3</w:t>
            </w:r>
          </w:p>
        </w:tc>
      </w:tr>
      <w:tr w:rsidR="00E1699F" w:rsidTr="00D27235">
        <w:trPr>
          <w:trHeight w:val="312"/>
          <w:jc w:val="center"/>
        </w:trPr>
        <w:tc>
          <w:tcPr>
            <w:tcW w:w="2084" w:type="pct"/>
            <w:tcBorders>
              <w:top w:val="nil"/>
              <w:bottom w:val="single" w:sz="4" w:space="0" w:color="auto"/>
            </w:tcBorders>
            <w:vAlign w:val="center"/>
          </w:tcPr>
          <w:p w:rsidR="00E1699F" w:rsidRDefault="00E1699F" w:rsidP="00EF36E5">
            <w:pPr>
              <w:bidi w:val="0"/>
              <w:rPr>
                <w:rFonts w:ascii="Arial" w:hAnsi="Arial" w:cs="Arial"/>
                <w:snapToGrid w:val="0"/>
                <w:sz w:val="18"/>
                <w:szCs w:val="18"/>
                <w:rtl/>
                <w:lang w:val="en-GB"/>
              </w:rPr>
            </w:pPr>
            <w:r>
              <w:rPr>
                <w:rFonts w:ascii="Arial" w:hAnsi="Arial" w:cs="Arial"/>
                <w:snapToGrid w:val="0"/>
                <w:sz w:val="18"/>
                <w:szCs w:val="18"/>
              </w:rPr>
              <w:t>Other *</w:t>
            </w:r>
          </w:p>
        </w:tc>
        <w:tc>
          <w:tcPr>
            <w:tcW w:w="487" w:type="pct"/>
            <w:tcBorders>
              <w:top w:val="nil"/>
              <w:bottom w:val="single" w:sz="4" w:space="0" w:color="auto"/>
              <w:right w:val="nil"/>
            </w:tcBorders>
            <w:vAlign w:val="center"/>
          </w:tcPr>
          <w:p w:rsidR="00E1699F" w:rsidRPr="00621AC3" w:rsidRDefault="00E1699F" w:rsidP="00D27235">
            <w:pPr>
              <w:ind w:firstLineChars="100" w:firstLine="180"/>
              <w:rPr>
                <w:rFonts w:ascii="Arial" w:hAnsi="Arial" w:cs="Arial"/>
                <w:color w:val="000000"/>
                <w:sz w:val="18"/>
                <w:szCs w:val="18"/>
              </w:rPr>
            </w:pPr>
            <w:r>
              <w:rPr>
                <w:rFonts w:ascii="Arial" w:hAnsi="Arial" w:cs="Arial"/>
                <w:color w:val="000000"/>
                <w:sz w:val="18"/>
                <w:szCs w:val="18"/>
              </w:rPr>
              <w:t>12.4</w:t>
            </w:r>
          </w:p>
        </w:tc>
        <w:tc>
          <w:tcPr>
            <w:tcW w:w="487" w:type="pct"/>
            <w:tcBorders>
              <w:top w:val="nil"/>
              <w:left w:val="nil"/>
              <w:bottom w:val="single" w:sz="4" w:space="0" w:color="auto"/>
              <w:right w:val="nil"/>
            </w:tcBorders>
            <w:vAlign w:val="center"/>
          </w:tcPr>
          <w:p w:rsidR="00E1699F" w:rsidRPr="00621AC3" w:rsidRDefault="00E1699F" w:rsidP="00D27235">
            <w:pPr>
              <w:ind w:firstLineChars="100" w:firstLine="180"/>
              <w:rPr>
                <w:rFonts w:ascii="Arial" w:hAnsi="Arial" w:cs="Arial"/>
                <w:color w:val="000000"/>
                <w:sz w:val="18"/>
                <w:szCs w:val="18"/>
              </w:rPr>
            </w:pPr>
            <w:r w:rsidRPr="00621AC3">
              <w:rPr>
                <w:rFonts w:ascii="Arial" w:hAnsi="Arial" w:cs="Arial"/>
                <w:color w:val="000000"/>
                <w:sz w:val="18"/>
                <w:szCs w:val="18"/>
              </w:rPr>
              <w:t>13</w:t>
            </w:r>
            <w:r>
              <w:rPr>
                <w:rFonts w:ascii="Arial" w:hAnsi="Arial" w:cs="Arial"/>
                <w:color w:val="000000"/>
                <w:sz w:val="18"/>
                <w:szCs w:val="18"/>
              </w:rPr>
              <w:t>.</w:t>
            </w:r>
            <w:r w:rsidR="00EA43AD">
              <w:rPr>
                <w:rFonts w:ascii="Arial" w:hAnsi="Arial" w:cs="Arial"/>
                <w:color w:val="000000"/>
                <w:sz w:val="18"/>
                <w:szCs w:val="18"/>
              </w:rPr>
              <w:t>2</w:t>
            </w:r>
          </w:p>
        </w:tc>
        <w:tc>
          <w:tcPr>
            <w:tcW w:w="487" w:type="pct"/>
            <w:tcBorders>
              <w:top w:val="nil"/>
              <w:left w:val="nil"/>
              <w:bottom w:val="single" w:sz="4" w:space="0" w:color="auto"/>
              <w:right w:val="nil"/>
            </w:tcBorders>
            <w:vAlign w:val="center"/>
          </w:tcPr>
          <w:p w:rsidR="00E1699F" w:rsidRPr="00621AC3" w:rsidRDefault="00E1699F" w:rsidP="00D27235">
            <w:pPr>
              <w:ind w:firstLineChars="100" w:firstLine="180"/>
              <w:rPr>
                <w:rFonts w:ascii="Arial" w:hAnsi="Arial" w:cs="Arial"/>
                <w:color w:val="000000"/>
                <w:sz w:val="18"/>
                <w:szCs w:val="18"/>
              </w:rPr>
            </w:pPr>
            <w:r>
              <w:rPr>
                <w:rFonts w:ascii="Arial" w:hAnsi="Arial" w:cs="Arial"/>
                <w:color w:val="000000"/>
                <w:sz w:val="18"/>
                <w:szCs w:val="18"/>
              </w:rPr>
              <w:t>14.6</w:t>
            </w:r>
          </w:p>
        </w:tc>
        <w:tc>
          <w:tcPr>
            <w:tcW w:w="486" w:type="pct"/>
            <w:tcBorders>
              <w:top w:val="nil"/>
              <w:left w:val="nil"/>
              <w:bottom w:val="single" w:sz="4" w:space="0" w:color="auto"/>
              <w:right w:val="nil"/>
            </w:tcBorders>
            <w:vAlign w:val="center"/>
          </w:tcPr>
          <w:p w:rsidR="00E1699F" w:rsidRPr="00621AC3" w:rsidRDefault="00E1699F" w:rsidP="00D27235">
            <w:pPr>
              <w:ind w:firstLineChars="100" w:firstLine="180"/>
              <w:rPr>
                <w:rFonts w:ascii="Arial" w:hAnsi="Arial" w:cs="Arial"/>
                <w:color w:val="000000"/>
                <w:sz w:val="18"/>
                <w:szCs w:val="18"/>
              </w:rPr>
            </w:pPr>
            <w:r>
              <w:rPr>
                <w:rFonts w:ascii="Arial" w:hAnsi="Arial" w:cs="Arial"/>
                <w:color w:val="000000"/>
                <w:sz w:val="18"/>
                <w:szCs w:val="18"/>
              </w:rPr>
              <w:t>16.</w:t>
            </w:r>
            <w:r w:rsidR="00EA43AD">
              <w:rPr>
                <w:rFonts w:ascii="Arial" w:hAnsi="Arial" w:cs="Arial"/>
                <w:color w:val="000000"/>
                <w:sz w:val="18"/>
                <w:szCs w:val="18"/>
              </w:rPr>
              <w:t>8</w:t>
            </w:r>
          </w:p>
        </w:tc>
        <w:tc>
          <w:tcPr>
            <w:tcW w:w="486" w:type="pct"/>
            <w:tcBorders>
              <w:top w:val="nil"/>
              <w:left w:val="nil"/>
              <w:bottom w:val="single" w:sz="4" w:space="0" w:color="auto"/>
              <w:right w:val="nil"/>
            </w:tcBorders>
            <w:vAlign w:val="center"/>
          </w:tcPr>
          <w:p w:rsidR="00E1699F" w:rsidRPr="00621AC3" w:rsidRDefault="00E1699F" w:rsidP="00D27235">
            <w:pPr>
              <w:ind w:firstLineChars="100" w:firstLine="180"/>
              <w:rPr>
                <w:rFonts w:ascii="Arial" w:hAnsi="Arial" w:cs="Arial"/>
                <w:color w:val="000000"/>
                <w:sz w:val="18"/>
                <w:szCs w:val="18"/>
              </w:rPr>
            </w:pPr>
            <w:r>
              <w:rPr>
                <w:rFonts w:ascii="Arial" w:hAnsi="Arial" w:cs="Arial"/>
                <w:color w:val="000000"/>
                <w:sz w:val="18"/>
                <w:szCs w:val="18"/>
              </w:rPr>
              <w:t>5.3</w:t>
            </w:r>
          </w:p>
        </w:tc>
        <w:tc>
          <w:tcPr>
            <w:tcW w:w="483" w:type="pct"/>
            <w:tcBorders>
              <w:top w:val="nil"/>
              <w:left w:val="nil"/>
              <w:bottom w:val="single" w:sz="4" w:space="0" w:color="auto"/>
              <w:right w:val="single" w:sz="4" w:space="0" w:color="auto"/>
            </w:tcBorders>
            <w:vAlign w:val="center"/>
          </w:tcPr>
          <w:p w:rsidR="00E1699F" w:rsidRPr="00621AC3" w:rsidRDefault="00E1699F" w:rsidP="00D27235">
            <w:pPr>
              <w:ind w:firstLineChars="100" w:firstLine="180"/>
              <w:rPr>
                <w:rFonts w:ascii="Arial" w:hAnsi="Arial" w:cs="Arial"/>
                <w:color w:val="000000"/>
                <w:sz w:val="18"/>
                <w:szCs w:val="18"/>
              </w:rPr>
            </w:pPr>
            <w:r>
              <w:rPr>
                <w:rFonts w:ascii="Arial" w:hAnsi="Arial" w:cs="Arial"/>
                <w:color w:val="000000"/>
                <w:sz w:val="18"/>
                <w:szCs w:val="18"/>
              </w:rPr>
              <w:t>3.3</w:t>
            </w:r>
          </w:p>
        </w:tc>
      </w:tr>
      <w:tr w:rsidR="00461B79" w:rsidTr="00D27235">
        <w:trPr>
          <w:trHeight w:val="312"/>
          <w:jc w:val="center"/>
        </w:trPr>
        <w:tc>
          <w:tcPr>
            <w:tcW w:w="2084" w:type="pct"/>
            <w:tcBorders>
              <w:top w:val="single" w:sz="4" w:space="0" w:color="auto"/>
              <w:left w:val="single" w:sz="4" w:space="0" w:color="auto"/>
              <w:bottom w:val="single" w:sz="4" w:space="0" w:color="auto"/>
              <w:right w:val="single" w:sz="4" w:space="0" w:color="auto"/>
            </w:tcBorders>
            <w:vAlign w:val="center"/>
          </w:tcPr>
          <w:p w:rsidR="00461B79" w:rsidRDefault="00461B79" w:rsidP="00EF36E5">
            <w:pPr>
              <w:bidi w:val="0"/>
              <w:rPr>
                <w:rFonts w:ascii="Arial" w:hAnsi="Arial" w:cs="Arial"/>
                <w:b/>
                <w:bCs/>
                <w:snapToGrid w:val="0"/>
                <w:sz w:val="18"/>
                <w:szCs w:val="18"/>
              </w:rPr>
            </w:pPr>
            <w:r>
              <w:rPr>
                <w:rFonts w:ascii="Arial" w:hAnsi="Arial" w:cs="Arial"/>
                <w:b/>
                <w:bCs/>
                <w:snapToGrid w:val="0"/>
                <w:sz w:val="18"/>
                <w:szCs w:val="18"/>
              </w:rPr>
              <w:t>Total</w:t>
            </w:r>
          </w:p>
        </w:tc>
        <w:tc>
          <w:tcPr>
            <w:tcW w:w="487" w:type="pct"/>
            <w:tcBorders>
              <w:top w:val="single" w:sz="4" w:space="0" w:color="auto"/>
              <w:left w:val="single" w:sz="4" w:space="0" w:color="auto"/>
              <w:bottom w:val="single" w:sz="4" w:space="0" w:color="auto"/>
              <w:right w:val="single" w:sz="4" w:space="0" w:color="auto"/>
            </w:tcBorders>
            <w:vAlign w:val="center"/>
          </w:tcPr>
          <w:p w:rsidR="00461B79" w:rsidRDefault="00461B79" w:rsidP="00D27235">
            <w:pPr>
              <w:bidi w:val="0"/>
              <w:jc w:val="center"/>
              <w:rPr>
                <w:rFonts w:ascii="Arial" w:hAnsi="Arial" w:cs="Arial"/>
                <w:b/>
                <w:bCs/>
                <w:sz w:val="18"/>
                <w:szCs w:val="18"/>
              </w:rPr>
            </w:pPr>
            <w:r>
              <w:rPr>
                <w:rFonts w:ascii="Arial" w:hAnsi="Arial" w:cs="Arial"/>
                <w:b/>
                <w:bCs/>
                <w:sz w:val="18"/>
                <w:szCs w:val="18"/>
              </w:rPr>
              <w:t>100</w:t>
            </w:r>
          </w:p>
        </w:tc>
        <w:tc>
          <w:tcPr>
            <w:tcW w:w="487" w:type="pct"/>
            <w:tcBorders>
              <w:top w:val="single" w:sz="4" w:space="0" w:color="auto"/>
              <w:left w:val="single" w:sz="4" w:space="0" w:color="auto"/>
              <w:bottom w:val="single" w:sz="4" w:space="0" w:color="auto"/>
              <w:right w:val="single" w:sz="4" w:space="0" w:color="auto"/>
            </w:tcBorders>
            <w:vAlign w:val="center"/>
          </w:tcPr>
          <w:p w:rsidR="00461B79" w:rsidRDefault="00461B79" w:rsidP="00D27235">
            <w:pPr>
              <w:bidi w:val="0"/>
              <w:jc w:val="center"/>
              <w:rPr>
                <w:rFonts w:ascii="Arial" w:hAnsi="Arial" w:cs="Arial"/>
                <w:b/>
                <w:bCs/>
                <w:sz w:val="18"/>
                <w:szCs w:val="18"/>
              </w:rPr>
            </w:pPr>
            <w:r>
              <w:rPr>
                <w:rFonts w:ascii="Arial" w:hAnsi="Arial" w:cs="Arial"/>
                <w:b/>
                <w:bCs/>
                <w:sz w:val="18"/>
                <w:szCs w:val="18"/>
              </w:rPr>
              <w:t>100</w:t>
            </w:r>
          </w:p>
        </w:tc>
        <w:tc>
          <w:tcPr>
            <w:tcW w:w="487" w:type="pct"/>
            <w:tcBorders>
              <w:top w:val="single" w:sz="4" w:space="0" w:color="auto"/>
              <w:left w:val="single" w:sz="4" w:space="0" w:color="auto"/>
              <w:bottom w:val="single" w:sz="4" w:space="0" w:color="auto"/>
              <w:right w:val="single" w:sz="4" w:space="0" w:color="auto"/>
            </w:tcBorders>
            <w:vAlign w:val="center"/>
          </w:tcPr>
          <w:p w:rsidR="00461B79" w:rsidRDefault="00461B79" w:rsidP="00D27235">
            <w:pPr>
              <w:bidi w:val="0"/>
              <w:jc w:val="center"/>
              <w:rPr>
                <w:rFonts w:ascii="Arial" w:hAnsi="Arial" w:cs="Arial"/>
                <w:b/>
                <w:bCs/>
                <w:sz w:val="18"/>
                <w:szCs w:val="18"/>
              </w:rPr>
            </w:pPr>
            <w:r>
              <w:rPr>
                <w:rFonts w:ascii="Arial" w:hAnsi="Arial" w:cs="Arial"/>
                <w:b/>
                <w:bCs/>
                <w:sz w:val="18"/>
                <w:szCs w:val="18"/>
              </w:rPr>
              <w:t>100</w:t>
            </w:r>
          </w:p>
        </w:tc>
        <w:tc>
          <w:tcPr>
            <w:tcW w:w="486" w:type="pct"/>
            <w:tcBorders>
              <w:top w:val="single" w:sz="4" w:space="0" w:color="auto"/>
              <w:left w:val="single" w:sz="4" w:space="0" w:color="auto"/>
              <w:bottom w:val="single" w:sz="4" w:space="0" w:color="auto"/>
              <w:right w:val="single" w:sz="4" w:space="0" w:color="auto"/>
            </w:tcBorders>
            <w:vAlign w:val="center"/>
          </w:tcPr>
          <w:p w:rsidR="00461B79" w:rsidRDefault="00461B79" w:rsidP="00D27235">
            <w:pPr>
              <w:bidi w:val="0"/>
              <w:jc w:val="center"/>
              <w:rPr>
                <w:rFonts w:ascii="Arial" w:hAnsi="Arial" w:cs="Arial"/>
                <w:b/>
                <w:bCs/>
                <w:sz w:val="18"/>
                <w:szCs w:val="18"/>
              </w:rPr>
            </w:pPr>
            <w:r>
              <w:rPr>
                <w:rFonts w:ascii="Arial" w:hAnsi="Arial" w:cs="Arial"/>
                <w:b/>
                <w:bCs/>
                <w:sz w:val="18"/>
                <w:szCs w:val="18"/>
              </w:rPr>
              <w:t>100</w:t>
            </w:r>
          </w:p>
        </w:tc>
        <w:tc>
          <w:tcPr>
            <w:tcW w:w="486" w:type="pct"/>
            <w:tcBorders>
              <w:top w:val="single" w:sz="4" w:space="0" w:color="auto"/>
              <w:left w:val="single" w:sz="4" w:space="0" w:color="auto"/>
              <w:bottom w:val="single" w:sz="4" w:space="0" w:color="auto"/>
              <w:right w:val="single" w:sz="4" w:space="0" w:color="auto"/>
            </w:tcBorders>
            <w:vAlign w:val="center"/>
          </w:tcPr>
          <w:p w:rsidR="00461B79" w:rsidRDefault="00461B79" w:rsidP="00D27235">
            <w:pPr>
              <w:bidi w:val="0"/>
              <w:jc w:val="center"/>
              <w:rPr>
                <w:rFonts w:ascii="Arial" w:hAnsi="Arial" w:cs="Arial"/>
                <w:b/>
                <w:bCs/>
                <w:sz w:val="18"/>
                <w:szCs w:val="18"/>
              </w:rPr>
            </w:pPr>
            <w:r>
              <w:rPr>
                <w:rFonts w:ascii="Arial" w:hAnsi="Arial" w:cs="Arial"/>
                <w:b/>
                <w:bCs/>
                <w:sz w:val="18"/>
                <w:szCs w:val="18"/>
              </w:rPr>
              <w:t>100</w:t>
            </w:r>
          </w:p>
        </w:tc>
        <w:tc>
          <w:tcPr>
            <w:tcW w:w="483" w:type="pct"/>
            <w:tcBorders>
              <w:top w:val="single" w:sz="4" w:space="0" w:color="auto"/>
              <w:left w:val="single" w:sz="4" w:space="0" w:color="auto"/>
              <w:bottom w:val="single" w:sz="4" w:space="0" w:color="auto"/>
              <w:right w:val="single" w:sz="4" w:space="0" w:color="auto"/>
            </w:tcBorders>
            <w:vAlign w:val="center"/>
          </w:tcPr>
          <w:p w:rsidR="00461B79" w:rsidRDefault="00461B79" w:rsidP="00D27235">
            <w:pPr>
              <w:bidi w:val="0"/>
              <w:jc w:val="center"/>
              <w:rPr>
                <w:rFonts w:ascii="Arial" w:hAnsi="Arial" w:cs="Arial"/>
                <w:b/>
                <w:bCs/>
                <w:sz w:val="18"/>
                <w:szCs w:val="18"/>
              </w:rPr>
            </w:pPr>
            <w:r>
              <w:rPr>
                <w:rFonts w:ascii="Arial" w:hAnsi="Arial" w:cs="Arial"/>
                <w:b/>
                <w:bCs/>
                <w:sz w:val="18"/>
                <w:szCs w:val="18"/>
              </w:rPr>
              <w:t>100</w:t>
            </w:r>
          </w:p>
        </w:tc>
      </w:tr>
    </w:tbl>
    <w:p w:rsidR="00461B79" w:rsidRDefault="00461B79" w:rsidP="00461B79">
      <w:pPr>
        <w:bidi w:val="0"/>
        <w:jc w:val="lowKashida"/>
        <w:rPr>
          <w:sz w:val="18"/>
          <w:szCs w:val="18"/>
        </w:rPr>
      </w:pPr>
      <w:r>
        <w:rPr>
          <w:b/>
          <w:bCs/>
          <w:sz w:val="18"/>
          <w:szCs w:val="18"/>
        </w:rPr>
        <w:t>Notes</w:t>
      </w:r>
      <w:r>
        <w:rPr>
          <w:b/>
          <w:bCs/>
        </w:rPr>
        <w:t xml:space="preserve">:  </w:t>
      </w:r>
      <w:r>
        <w:rPr>
          <w:sz w:val="18"/>
          <w:szCs w:val="18"/>
        </w:rPr>
        <w:t>(*): In</w:t>
      </w:r>
      <w:r w:rsidR="00B52D09">
        <w:rPr>
          <w:sz w:val="18"/>
          <w:szCs w:val="18"/>
        </w:rPr>
        <w:t>cludes</w:t>
      </w:r>
      <w:r>
        <w:rPr>
          <w:sz w:val="18"/>
          <w:szCs w:val="18"/>
        </w:rPr>
        <w:t xml:space="preserve"> </w:t>
      </w:r>
      <w:r>
        <w:rPr>
          <w:snapToGrid w:val="0"/>
          <w:sz w:val="18"/>
          <w:szCs w:val="18"/>
        </w:rPr>
        <w:t>Households with employed persons,</w:t>
      </w:r>
      <w:r>
        <w:rPr>
          <w:sz w:val="18"/>
          <w:szCs w:val="18"/>
        </w:rPr>
        <w:t xml:space="preserve"> FISIM, customs duties and VAT on imports, net.</w:t>
      </w:r>
    </w:p>
    <w:p w:rsidR="00197778" w:rsidRDefault="00197778" w:rsidP="00461B79">
      <w:pPr>
        <w:bidi w:val="0"/>
        <w:jc w:val="center"/>
        <w:rPr>
          <w:rFonts w:asciiTheme="minorBidi" w:hAnsiTheme="minorBidi" w:cstheme="minorBidi"/>
          <w:b/>
          <w:bCs/>
          <w:snapToGrid w:val="0"/>
          <w:sz w:val="22"/>
          <w:szCs w:val="22"/>
        </w:rPr>
      </w:pPr>
    </w:p>
    <w:p w:rsidR="00197778" w:rsidRDefault="00197778" w:rsidP="00197778">
      <w:pPr>
        <w:bidi w:val="0"/>
        <w:jc w:val="center"/>
        <w:rPr>
          <w:rFonts w:asciiTheme="minorBidi" w:hAnsiTheme="minorBidi" w:cstheme="minorBidi"/>
          <w:b/>
          <w:bCs/>
          <w:snapToGrid w:val="0"/>
          <w:sz w:val="22"/>
          <w:szCs w:val="22"/>
        </w:rPr>
      </w:pPr>
    </w:p>
    <w:p w:rsidR="00461B79" w:rsidRPr="00000F3A" w:rsidRDefault="00461B79" w:rsidP="00E02668">
      <w:pPr>
        <w:bidi w:val="0"/>
        <w:jc w:val="center"/>
        <w:rPr>
          <w:rFonts w:asciiTheme="minorBidi" w:hAnsiTheme="minorBidi" w:cstheme="minorBidi"/>
          <w:b/>
          <w:bCs/>
          <w:snapToGrid w:val="0"/>
          <w:sz w:val="22"/>
          <w:szCs w:val="22"/>
        </w:rPr>
      </w:pPr>
      <w:r w:rsidRPr="00000F3A">
        <w:rPr>
          <w:rFonts w:asciiTheme="minorBidi" w:hAnsiTheme="minorBidi" w:cstheme="minorBidi"/>
          <w:b/>
          <w:bCs/>
          <w:snapToGrid w:val="0"/>
          <w:sz w:val="22"/>
          <w:szCs w:val="22"/>
        </w:rPr>
        <w:lastRenderedPageBreak/>
        <w:t xml:space="preserve">Gross domestic product in the Palestinian </w:t>
      </w:r>
      <w:r w:rsidR="00E02668">
        <w:rPr>
          <w:rFonts w:asciiTheme="minorBidi" w:hAnsiTheme="minorBidi" w:cstheme="minorBidi"/>
          <w:b/>
          <w:bCs/>
          <w:snapToGrid w:val="0"/>
          <w:sz w:val="22"/>
          <w:szCs w:val="22"/>
        </w:rPr>
        <w:t>t</w:t>
      </w:r>
      <w:r w:rsidR="00E02668" w:rsidRPr="00000F3A">
        <w:rPr>
          <w:rFonts w:asciiTheme="minorBidi" w:hAnsiTheme="minorBidi" w:cstheme="minorBidi"/>
          <w:b/>
          <w:bCs/>
          <w:snapToGrid w:val="0"/>
          <w:sz w:val="22"/>
          <w:szCs w:val="22"/>
        </w:rPr>
        <w:t xml:space="preserve">erritory </w:t>
      </w:r>
      <w:r w:rsidRPr="00000F3A">
        <w:rPr>
          <w:rFonts w:asciiTheme="minorBidi" w:hAnsiTheme="minorBidi" w:cstheme="minorBidi"/>
          <w:b/>
          <w:bCs/>
          <w:snapToGrid w:val="0"/>
          <w:sz w:val="22"/>
          <w:szCs w:val="22"/>
        </w:rPr>
        <w:t xml:space="preserve">for the years </w:t>
      </w:r>
      <w:r w:rsidR="00535A77">
        <w:rPr>
          <w:rFonts w:asciiTheme="minorBidi" w:hAnsiTheme="minorBidi" w:cstheme="minorBidi"/>
          <w:b/>
          <w:bCs/>
          <w:snapToGrid w:val="0"/>
          <w:sz w:val="22"/>
          <w:szCs w:val="22"/>
        </w:rPr>
        <w:t xml:space="preserve">of </w:t>
      </w:r>
      <w:r w:rsidRPr="00000F3A">
        <w:rPr>
          <w:rFonts w:asciiTheme="minorBidi" w:hAnsiTheme="minorBidi" w:cstheme="minorBidi"/>
          <w:b/>
          <w:bCs/>
          <w:snapToGrid w:val="0"/>
          <w:sz w:val="22"/>
          <w:szCs w:val="22"/>
        </w:rPr>
        <w:t xml:space="preserve">(2005- </w:t>
      </w:r>
      <w:r w:rsidR="00DD6826" w:rsidRPr="00000F3A">
        <w:rPr>
          <w:rFonts w:asciiTheme="minorBidi" w:hAnsiTheme="minorBidi" w:cstheme="minorBidi"/>
          <w:b/>
          <w:bCs/>
          <w:snapToGrid w:val="0"/>
          <w:sz w:val="22"/>
          <w:szCs w:val="22"/>
        </w:rPr>
        <w:t>2010</w:t>
      </w:r>
      <w:r w:rsidRPr="00000F3A">
        <w:rPr>
          <w:rFonts w:asciiTheme="minorBidi" w:hAnsiTheme="minorBidi" w:cstheme="minorBidi"/>
          <w:b/>
          <w:bCs/>
          <w:snapToGrid w:val="0"/>
          <w:sz w:val="22"/>
          <w:szCs w:val="22"/>
        </w:rPr>
        <w:t>) at current and constant prices (US$ million)</w:t>
      </w:r>
    </w:p>
    <w:tbl>
      <w:tblPr>
        <w:tblStyle w:val="TableGrid"/>
        <w:tblW w:w="0" w:type="auto"/>
        <w:tblInd w:w="108" w:type="dxa"/>
        <w:tblLook w:val="04A0"/>
      </w:tblPr>
      <w:tblGrid>
        <w:gridCol w:w="9111"/>
      </w:tblGrid>
      <w:tr w:rsidR="00000F3A" w:rsidTr="00D27235">
        <w:tc>
          <w:tcPr>
            <w:tcW w:w="9093" w:type="dxa"/>
          </w:tcPr>
          <w:p w:rsidR="00000F3A" w:rsidRDefault="00000F3A" w:rsidP="00000F3A">
            <w:pPr>
              <w:bidi w:val="0"/>
              <w:jc w:val="center"/>
              <w:rPr>
                <w:b/>
                <w:bCs/>
                <w:snapToGrid w:val="0"/>
                <w:sz w:val="22"/>
                <w:szCs w:val="22"/>
              </w:rPr>
            </w:pPr>
            <w:r w:rsidRPr="00000F3A">
              <w:rPr>
                <w:b/>
                <w:bCs/>
                <w:noProof/>
                <w:snapToGrid w:val="0"/>
                <w:sz w:val="22"/>
                <w:szCs w:val="22"/>
                <w:lang w:eastAsia="en-US"/>
              </w:rPr>
              <w:drawing>
                <wp:inline distT="0" distB="0" distL="0" distR="0">
                  <wp:extent cx="5648325" cy="2800350"/>
                  <wp:effectExtent l="0" t="0" r="0" b="0"/>
                  <wp:docPr id="1"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000F3A" w:rsidRDefault="00000F3A" w:rsidP="00000F3A">
      <w:pPr>
        <w:bidi w:val="0"/>
        <w:jc w:val="center"/>
        <w:rPr>
          <w:b/>
          <w:bCs/>
          <w:snapToGrid w:val="0"/>
          <w:sz w:val="22"/>
          <w:szCs w:val="22"/>
        </w:rPr>
      </w:pPr>
    </w:p>
    <w:p w:rsidR="00461B79" w:rsidRDefault="00461B79" w:rsidP="00D27235">
      <w:pPr>
        <w:bidi w:val="0"/>
        <w:jc w:val="lowKashida"/>
        <w:rPr>
          <w:b/>
          <w:bCs/>
        </w:rPr>
      </w:pPr>
      <w:r>
        <w:rPr>
          <w:b/>
          <w:bCs/>
        </w:rPr>
        <w:t>Second: Per Capita Indicators</w:t>
      </w:r>
      <w:r w:rsidR="00D27235">
        <w:rPr>
          <w:b/>
          <w:bCs/>
        </w:rPr>
        <w:t xml:space="preserve"> </w:t>
      </w:r>
    </w:p>
    <w:p w:rsidR="00461B79" w:rsidRDefault="00461B79" w:rsidP="00461B79">
      <w:pPr>
        <w:bidi w:val="0"/>
        <w:jc w:val="lowKashida"/>
        <w:rPr>
          <w:b/>
          <w:bCs/>
          <w:sz w:val="18"/>
          <w:szCs w:val="18"/>
        </w:rPr>
      </w:pPr>
    </w:p>
    <w:p w:rsidR="00461B79" w:rsidRDefault="00461B79" w:rsidP="00461B79">
      <w:pPr>
        <w:bidi w:val="0"/>
        <w:jc w:val="lowKashida"/>
        <w:rPr>
          <w:b/>
          <w:bCs/>
        </w:rPr>
      </w:pPr>
      <w:r>
        <w:rPr>
          <w:b/>
          <w:bCs/>
        </w:rPr>
        <w:t xml:space="preserve">1.  </w:t>
      </w:r>
      <w:proofErr w:type="gramStart"/>
      <w:r>
        <w:rPr>
          <w:b/>
          <w:bCs/>
        </w:rPr>
        <w:t>At</w:t>
      </w:r>
      <w:proofErr w:type="gramEnd"/>
      <w:r>
        <w:rPr>
          <w:b/>
          <w:bCs/>
        </w:rPr>
        <w:t xml:space="preserve"> Current Prices:</w:t>
      </w:r>
    </w:p>
    <w:p w:rsidR="00461B79" w:rsidRDefault="00461B79" w:rsidP="00535A77">
      <w:pPr>
        <w:bidi w:val="0"/>
        <w:jc w:val="lowKashida"/>
      </w:pPr>
      <w:r>
        <w:t>GDP</w:t>
      </w:r>
      <w:proofErr w:type="gramStart"/>
      <w:r>
        <w:t>,GNI,GNDI</w:t>
      </w:r>
      <w:proofErr w:type="gramEnd"/>
      <w:r>
        <w:t xml:space="preserve"> Per Capita in Palestinian </w:t>
      </w:r>
      <w:r w:rsidR="00535A77">
        <w:t xml:space="preserve">territory </w:t>
      </w:r>
      <w:r>
        <w:t xml:space="preserve">for the years </w:t>
      </w:r>
      <w:r w:rsidR="00535A77">
        <w:t xml:space="preserve">of </w:t>
      </w:r>
      <w:r w:rsidR="005A49DD">
        <w:t>2009</w:t>
      </w:r>
      <w:r w:rsidR="00535A77">
        <w:t xml:space="preserve"> and </w:t>
      </w:r>
      <w:r w:rsidR="0007072F">
        <w:t>2010</w:t>
      </w:r>
      <w:r w:rsidR="00B96604">
        <w:t xml:space="preserve"> </w:t>
      </w:r>
      <w:r>
        <w:t>at current prices (US$) were:</w:t>
      </w:r>
    </w:p>
    <w:p w:rsidR="00461B79" w:rsidRDefault="00461B79" w:rsidP="00461B79">
      <w:pPr>
        <w:bidi w:val="0"/>
      </w:pPr>
    </w:p>
    <w:p w:rsidR="00461B79" w:rsidRDefault="00461B79" w:rsidP="00461B79">
      <w:pPr>
        <w:bidi w:val="0"/>
        <w:ind w:left="-180"/>
        <w:rPr>
          <w:rFonts w:ascii="Arial" w:hAnsi="Arial" w:cs="Arial"/>
          <w:sz w:val="18"/>
          <w:szCs w:val="18"/>
          <w:lang w:eastAsia="en-US"/>
        </w:rPr>
      </w:pPr>
      <w:r>
        <w:rPr>
          <w:rFonts w:ascii="Arial" w:hAnsi="Arial" w:cs="Arial"/>
          <w:sz w:val="18"/>
          <w:szCs w:val="18"/>
          <w:lang w:eastAsia="en-US"/>
        </w:rPr>
        <w:t xml:space="preserve">    </w:t>
      </w:r>
      <w:r>
        <w:rPr>
          <w:rFonts w:ascii="Arial" w:hAnsi="Arial" w:cs="Arial"/>
          <w:snapToGrid w:val="0"/>
          <w:sz w:val="18"/>
          <w:szCs w:val="18"/>
        </w:rPr>
        <w:t xml:space="preserve">Value in US$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21"/>
        <w:gridCol w:w="2177"/>
        <w:gridCol w:w="2174"/>
      </w:tblGrid>
      <w:tr w:rsidR="00461B79" w:rsidTr="009B22B0">
        <w:trPr>
          <w:trHeight w:val="340"/>
          <w:jc w:val="center"/>
        </w:trPr>
        <w:tc>
          <w:tcPr>
            <w:tcW w:w="2602" w:type="pct"/>
            <w:tcBorders>
              <w:bottom w:val="nil"/>
              <w:right w:val="single" w:sz="4" w:space="0" w:color="auto"/>
            </w:tcBorders>
            <w:vAlign w:val="center"/>
          </w:tcPr>
          <w:p w:rsidR="00461B79" w:rsidRDefault="00461B79" w:rsidP="00FB112E">
            <w:pPr>
              <w:pStyle w:val="BodyText"/>
              <w:jc w:val="left"/>
              <w:rPr>
                <w:rFonts w:ascii="Arial" w:hAnsi="Arial" w:cs="Arial"/>
                <w:b/>
                <w:bCs/>
                <w:sz w:val="18"/>
                <w:szCs w:val="18"/>
              </w:rPr>
            </w:pPr>
            <w:r>
              <w:rPr>
                <w:rFonts w:ascii="Arial" w:hAnsi="Arial" w:cs="Arial"/>
                <w:b/>
                <w:bCs/>
                <w:sz w:val="18"/>
                <w:szCs w:val="18"/>
              </w:rPr>
              <w:t>Indicator</w:t>
            </w:r>
          </w:p>
        </w:tc>
        <w:tc>
          <w:tcPr>
            <w:tcW w:w="1200" w:type="pct"/>
            <w:tcBorders>
              <w:bottom w:val="single" w:sz="4" w:space="0" w:color="auto"/>
              <w:right w:val="single" w:sz="4" w:space="0" w:color="auto"/>
            </w:tcBorders>
            <w:vAlign w:val="center"/>
          </w:tcPr>
          <w:p w:rsidR="00461B79" w:rsidRDefault="00DD6826" w:rsidP="00461B79">
            <w:pPr>
              <w:bidi w:val="0"/>
              <w:ind w:left="-109"/>
              <w:jc w:val="center"/>
              <w:rPr>
                <w:rFonts w:ascii="Arial" w:hAnsi="Arial" w:cs="Arial"/>
                <w:b/>
                <w:bCs/>
                <w:sz w:val="18"/>
                <w:szCs w:val="18"/>
                <w:lang w:eastAsia="en-US"/>
              </w:rPr>
            </w:pPr>
            <w:r>
              <w:rPr>
                <w:rFonts w:ascii="Arial" w:hAnsi="Arial" w:cs="Arial"/>
                <w:b/>
                <w:bCs/>
                <w:sz w:val="18"/>
                <w:szCs w:val="18"/>
                <w:lang w:eastAsia="en-US"/>
              </w:rPr>
              <w:t>2009</w:t>
            </w:r>
          </w:p>
        </w:tc>
        <w:tc>
          <w:tcPr>
            <w:tcW w:w="1198" w:type="pct"/>
            <w:tcBorders>
              <w:left w:val="single" w:sz="4" w:space="0" w:color="auto"/>
              <w:bottom w:val="single" w:sz="4" w:space="0" w:color="auto"/>
              <w:right w:val="single" w:sz="4" w:space="0" w:color="auto"/>
            </w:tcBorders>
            <w:vAlign w:val="center"/>
          </w:tcPr>
          <w:p w:rsidR="00461B79" w:rsidRDefault="00DD6826" w:rsidP="00461B79">
            <w:pPr>
              <w:bidi w:val="0"/>
              <w:ind w:left="-109"/>
              <w:jc w:val="center"/>
              <w:rPr>
                <w:rFonts w:ascii="Arial" w:hAnsi="Arial" w:cs="Arial"/>
                <w:b/>
                <w:bCs/>
                <w:sz w:val="18"/>
                <w:szCs w:val="18"/>
                <w:lang w:eastAsia="en-US"/>
              </w:rPr>
            </w:pPr>
            <w:r>
              <w:rPr>
                <w:rFonts w:ascii="Arial" w:hAnsi="Arial" w:cs="Arial"/>
                <w:b/>
                <w:bCs/>
                <w:sz w:val="18"/>
                <w:szCs w:val="18"/>
                <w:lang w:eastAsia="en-US"/>
              </w:rPr>
              <w:t>2010</w:t>
            </w:r>
          </w:p>
        </w:tc>
      </w:tr>
      <w:tr w:rsidR="00B02DC6" w:rsidTr="00A71CBD">
        <w:trPr>
          <w:trHeight w:val="340"/>
          <w:jc w:val="center"/>
        </w:trPr>
        <w:tc>
          <w:tcPr>
            <w:tcW w:w="2602" w:type="pct"/>
            <w:tcBorders>
              <w:bottom w:val="nil"/>
              <w:right w:val="single" w:sz="4" w:space="0" w:color="auto"/>
            </w:tcBorders>
            <w:vAlign w:val="center"/>
          </w:tcPr>
          <w:p w:rsidR="00B02DC6" w:rsidRDefault="00B02DC6" w:rsidP="00461B79">
            <w:pPr>
              <w:pStyle w:val="xl34"/>
              <w:rPr>
                <w:rFonts w:ascii="Arial" w:hAnsi="Arial" w:cs="Arial"/>
                <w:sz w:val="18"/>
                <w:szCs w:val="18"/>
              </w:rPr>
            </w:pPr>
            <w:r>
              <w:rPr>
                <w:rFonts w:ascii="Arial" w:hAnsi="Arial" w:cs="Arial"/>
                <w:sz w:val="18"/>
                <w:szCs w:val="18"/>
              </w:rPr>
              <w:t xml:space="preserve">GDP Per Capita </w:t>
            </w:r>
          </w:p>
        </w:tc>
        <w:tc>
          <w:tcPr>
            <w:tcW w:w="1200" w:type="pct"/>
            <w:tcBorders>
              <w:bottom w:val="nil"/>
              <w:right w:val="nil"/>
            </w:tcBorders>
            <w:vAlign w:val="center"/>
          </w:tcPr>
          <w:p w:rsidR="00B02DC6" w:rsidRPr="00BD179A" w:rsidRDefault="00B02DC6" w:rsidP="00A71CBD">
            <w:pPr>
              <w:bidi w:val="0"/>
              <w:ind w:firstLineChars="100" w:firstLine="180"/>
              <w:jc w:val="right"/>
              <w:rPr>
                <w:rFonts w:ascii="Arial" w:hAnsi="Arial" w:cs="Arial"/>
                <w:color w:val="000000"/>
                <w:sz w:val="18"/>
                <w:szCs w:val="18"/>
              </w:rPr>
            </w:pPr>
            <w:r w:rsidRPr="00BD179A">
              <w:rPr>
                <w:rFonts w:ascii="Arial" w:hAnsi="Arial" w:cs="Arial"/>
                <w:color w:val="000000"/>
                <w:sz w:val="18"/>
                <w:szCs w:val="18"/>
              </w:rPr>
              <w:t>1,815.0</w:t>
            </w:r>
          </w:p>
        </w:tc>
        <w:tc>
          <w:tcPr>
            <w:tcW w:w="1198" w:type="pct"/>
            <w:tcBorders>
              <w:top w:val="single" w:sz="4" w:space="0" w:color="auto"/>
              <w:left w:val="nil"/>
              <w:bottom w:val="nil"/>
              <w:right w:val="single" w:sz="4" w:space="0" w:color="auto"/>
            </w:tcBorders>
            <w:vAlign w:val="center"/>
          </w:tcPr>
          <w:p w:rsidR="00B02DC6" w:rsidRPr="00BD179A" w:rsidRDefault="00167827" w:rsidP="00A71CBD">
            <w:pPr>
              <w:bidi w:val="0"/>
              <w:ind w:firstLineChars="100" w:firstLine="180"/>
              <w:jc w:val="right"/>
              <w:rPr>
                <w:rFonts w:ascii="Arial" w:hAnsi="Arial" w:cs="Arial"/>
                <w:color w:val="000000"/>
                <w:sz w:val="18"/>
                <w:szCs w:val="18"/>
              </w:rPr>
            </w:pPr>
            <w:r>
              <w:rPr>
                <w:rFonts w:ascii="Arial" w:hAnsi="Arial" w:cs="Arial"/>
                <w:color w:val="000000"/>
                <w:sz w:val="18"/>
                <w:szCs w:val="18"/>
              </w:rPr>
              <w:t xml:space="preserve"> </w:t>
            </w:r>
            <w:r w:rsidR="00B02DC6" w:rsidRPr="00BD179A">
              <w:rPr>
                <w:rFonts w:ascii="Arial" w:hAnsi="Arial" w:cs="Arial"/>
                <w:color w:val="000000"/>
                <w:sz w:val="18"/>
                <w:szCs w:val="18"/>
              </w:rPr>
              <w:t>2,185.9</w:t>
            </w:r>
          </w:p>
        </w:tc>
      </w:tr>
      <w:tr w:rsidR="00B02DC6" w:rsidTr="00A71CBD">
        <w:trPr>
          <w:trHeight w:val="340"/>
          <w:jc w:val="center"/>
        </w:trPr>
        <w:tc>
          <w:tcPr>
            <w:tcW w:w="2602" w:type="pct"/>
            <w:tcBorders>
              <w:top w:val="nil"/>
              <w:bottom w:val="nil"/>
              <w:right w:val="single" w:sz="4" w:space="0" w:color="auto"/>
            </w:tcBorders>
            <w:vAlign w:val="center"/>
          </w:tcPr>
          <w:p w:rsidR="00B02DC6" w:rsidRDefault="00B02DC6" w:rsidP="00461B79">
            <w:pPr>
              <w:pStyle w:val="BodyText"/>
              <w:jc w:val="left"/>
              <w:rPr>
                <w:rFonts w:ascii="Arial" w:hAnsi="Arial" w:cs="Arial"/>
                <w:sz w:val="18"/>
                <w:szCs w:val="18"/>
              </w:rPr>
            </w:pPr>
            <w:r>
              <w:rPr>
                <w:rFonts w:ascii="Arial" w:hAnsi="Arial" w:cs="Arial"/>
                <w:sz w:val="18"/>
                <w:szCs w:val="18"/>
              </w:rPr>
              <w:t>GNI Per Capita</w:t>
            </w:r>
          </w:p>
        </w:tc>
        <w:tc>
          <w:tcPr>
            <w:tcW w:w="1200" w:type="pct"/>
            <w:tcBorders>
              <w:top w:val="nil"/>
              <w:bottom w:val="nil"/>
              <w:right w:val="nil"/>
            </w:tcBorders>
            <w:vAlign w:val="center"/>
          </w:tcPr>
          <w:p w:rsidR="00B02DC6" w:rsidRPr="00BD179A" w:rsidRDefault="00167827" w:rsidP="00A71CBD">
            <w:pPr>
              <w:bidi w:val="0"/>
              <w:jc w:val="right"/>
              <w:rPr>
                <w:rFonts w:ascii="Arial" w:hAnsi="Arial" w:cs="Arial"/>
                <w:color w:val="000000"/>
                <w:sz w:val="18"/>
                <w:szCs w:val="18"/>
                <w:rtl/>
              </w:rPr>
            </w:pPr>
            <w:r>
              <w:rPr>
                <w:rFonts w:ascii="Arial" w:hAnsi="Arial" w:cs="Arial"/>
                <w:color w:val="000000"/>
                <w:sz w:val="18"/>
                <w:szCs w:val="18"/>
              </w:rPr>
              <w:t xml:space="preserve">    </w:t>
            </w:r>
            <w:r w:rsidR="00B02DC6" w:rsidRPr="00BD179A">
              <w:rPr>
                <w:rFonts w:ascii="Arial" w:hAnsi="Arial" w:cs="Arial"/>
                <w:color w:val="000000"/>
                <w:sz w:val="18"/>
                <w:szCs w:val="18"/>
              </w:rPr>
              <w:t>1,958.8</w:t>
            </w:r>
            <w:r w:rsidR="00B02DC6">
              <w:rPr>
                <w:rFonts w:ascii="Arial" w:hAnsi="Arial" w:cs="Arial"/>
                <w:color w:val="000000"/>
                <w:sz w:val="18"/>
                <w:szCs w:val="18"/>
              </w:rPr>
              <w:t xml:space="preserve">    </w:t>
            </w:r>
          </w:p>
        </w:tc>
        <w:tc>
          <w:tcPr>
            <w:tcW w:w="1198" w:type="pct"/>
            <w:tcBorders>
              <w:top w:val="nil"/>
              <w:left w:val="nil"/>
              <w:bottom w:val="nil"/>
              <w:right w:val="single" w:sz="4" w:space="0" w:color="auto"/>
            </w:tcBorders>
            <w:vAlign w:val="center"/>
          </w:tcPr>
          <w:p w:rsidR="00B02DC6" w:rsidRPr="00BD179A" w:rsidRDefault="00167827" w:rsidP="00A71CBD">
            <w:pPr>
              <w:bidi w:val="0"/>
              <w:jc w:val="right"/>
              <w:rPr>
                <w:rFonts w:ascii="Arial" w:hAnsi="Arial" w:cs="Arial"/>
                <w:color w:val="000000"/>
                <w:sz w:val="18"/>
                <w:szCs w:val="18"/>
              </w:rPr>
            </w:pPr>
            <w:r>
              <w:rPr>
                <w:rFonts w:ascii="Arial" w:hAnsi="Arial" w:cs="Arial"/>
                <w:color w:val="000000"/>
                <w:sz w:val="18"/>
                <w:szCs w:val="18"/>
              </w:rPr>
              <w:t xml:space="preserve">     </w:t>
            </w:r>
            <w:r w:rsidR="00B02DC6" w:rsidRPr="00BD179A">
              <w:rPr>
                <w:rFonts w:ascii="Arial" w:hAnsi="Arial" w:cs="Arial"/>
                <w:color w:val="000000"/>
                <w:sz w:val="18"/>
                <w:szCs w:val="18"/>
              </w:rPr>
              <w:t>2,343.1</w:t>
            </w:r>
            <w:r w:rsidR="00B02DC6">
              <w:rPr>
                <w:rFonts w:ascii="Arial" w:hAnsi="Arial" w:cs="Arial"/>
                <w:color w:val="000000"/>
                <w:sz w:val="18"/>
                <w:szCs w:val="18"/>
              </w:rPr>
              <w:t xml:space="preserve">    </w:t>
            </w:r>
          </w:p>
        </w:tc>
      </w:tr>
      <w:tr w:rsidR="00B02DC6" w:rsidTr="00A71CBD">
        <w:trPr>
          <w:trHeight w:val="340"/>
          <w:jc w:val="center"/>
        </w:trPr>
        <w:tc>
          <w:tcPr>
            <w:tcW w:w="2602" w:type="pct"/>
            <w:tcBorders>
              <w:top w:val="nil"/>
              <w:bottom w:val="single" w:sz="4" w:space="0" w:color="auto"/>
              <w:right w:val="single" w:sz="4" w:space="0" w:color="auto"/>
            </w:tcBorders>
            <w:vAlign w:val="center"/>
          </w:tcPr>
          <w:p w:rsidR="00B02DC6" w:rsidRDefault="00B02DC6" w:rsidP="00461B79">
            <w:pPr>
              <w:pStyle w:val="BodyText"/>
              <w:jc w:val="left"/>
              <w:rPr>
                <w:rFonts w:ascii="Arial" w:hAnsi="Arial" w:cs="Arial"/>
                <w:sz w:val="18"/>
                <w:szCs w:val="18"/>
              </w:rPr>
            </w:pPr>
            <w:r>
              <w:rPr>
                <w:rFonts w:ascii="Arial" w:hAnsi="Arial" w:cs="Arial"/>
                <w:sz w:val="18"/>
                <w:szCs w:val="18"/>
              </w:rPr>
              <w:t>GNDI Per Capita</w:t>
            </w:r>
          </w:p>
        </w:tc>
        <w:tc>
          <w:tcPr>
            <w:tcW w:w="1200" w:type="pct"/>
            <w:tcBorders>
              <w:top w:val="nil"/>
              <w:bottom w:val="single" w:sz="4" w:space="0" w:color="auto"/>
              <w:right w:val="nil"/>
            </w:tcBorders>
            <w:vAlign w:val="center"/>
          </w:tcPr>
          <w:p w:rsidR="00B02DC6" w:rsidRPr="00BD179A" w:rsidRDefault="00167827" w:rsidP="00A71CBD">
            <w:pPr>
              <w:bidi w:val="0"/>
              <w:ind w:firstLineChars="100" w:firstLine="180"/>
              <w:jc w:val="right"/>
              <w:rPr>
                <w:rFonts w:ascii="Arial" w:hAnsi="Arial" w:cs="Arial"/>
                <w:color w:val="000000"/>
                <w:sz w:val="18"/>
                <w:szCs w:val="18"/>
              </w:rPr>
            </w:pPr>
            <w:r>
              <w:rPr>
                <w:rFonts w:ascii="Arial" w:hAnsi="Arial" w:cs="Arial"/>
                <w:color w:val="000000"/>
                <w:sz w:val="18"/>
                <w:szCs w:val="18"/>
              </w:rPr>
              <w:t xml:space="preserve"> </w:t>
            </w:r>
            <w:r w:rsidR="00B02DC6" w:rsidRPr="00BD179A">
              <w:rPr>
                <w:rFonts w:ascii="Arial" w:hAnsi="Arial" w:cs="Arial"/>
                <w:color w:val="000000"/>
                <w:sz w:val="18"/>
                <w:szCs w:val="18"/>
              </w:rPr>
              <w:t>2,537.0</w:t>
            </w:r>
          </w:p>
        </w:tc>
        <w:tc>
          <w:tcPr>
            <w:tcW w:w="1198" w:type="pct"/>
            <w:tcBorders>
              <w:top w:val="nil"/>
              <w:left w:val="nil"/>
              <w:bottom w:val="single" w:sz="4" w:space="0" w:color="auto"/>
              <w:right w:val="single" w:sz="4" w:space="0" w:color="auto"/>
            </w:tcBorders>
            <w:vAlign w:val="center"/>
          </w:tcPr>
          <w:p w:rsidR="00B02DC6" w:rsidRPr="00BD179A" w:rsidRDefault="00167827" w:rsidP="00A71CBD">
            <w:pPr>
              <w:bidi w:val="0"/>
              <w:ind w:firstLineChars="100" w:firstLine="180"/>
              <w:jc w:val="right"/>
              <w:rPr>
                <w:rFonts w:ascii="Arial" w:hAnsi="Arial" w:cs="Arial"/>
                <w:color w:val="000000"/>
                <w:sz w:val="18"/>
                <w:szCs w:val="18"/>
              </w:rPr>
            </w:pPr>
            <w:r>
              <w:rPr>
                <w:rFonts w:ascii="Arial" w:hAnsi="Arial" w:cs="Arial"/>
                <w:color w:val="000000"/>
                <w:sz w:val="18"/>
                <w:szCs w:val="18"/>
              </w:rPr>
              <w:t xml:space="preserve"> </w:t>
            </w:r>
            <w:r w:rsidR="00B02DC6" w:rsidRPr="00BD179A">
              <w:rPr>
                <w:rFonts w:ascii="Arial" w:hAnsi="Arial" w:cs="Arial"/>
                <w:color w:val="000000"/>
                <w:sz w:val="18"/>
                <w:szCs w:val="18"/>
              </w:rPr>
              <w:t>2,865.5</w:t>
            </w:r>
          </w:p>
        </w:tc>
      </w:tr>
    </w:tbl>
    <w:p w:rsidR="00461B79" w:rsidRDefault="00461B79" w:rsidP="00461B79">
      <w:pPr>
        <w:bidi w:val="0"/>
        <w:rPr>
          <w:color w:val="FF0000"/>
          <w:rtl/>
          <w:lang w:val="en-GB"/>
        </w:rPr>
      </w:pPr>
    </w:p>
    <w:p w:rsidR="00461B79" w:rsidRDefault="00461B79" w:rsidP="00461B79">
      <w:pPr>
        <w:bidi w:val="0"/>
        <w:jc w:val="lowKashida"/>
        <w:rPr>
          <w:b/>
          <w:bCs/>
        </w:rPr>
      </w:pPr>
      <w:r>
        <w:rPr>
          <w:b/>
          <w:bCs/>
        </w:rPr>
        <w:t xml:space="preserve">2.  </w:t>
      </w:r>
      <w:proofErr w:type="gramStart"/>
      <w:r>
        <w:rPr>
          <w:b/>
          <w:bCs/>
        </w:rPr>
        <w:t>At</w:t>
      </w:r>
      <w:proofErr w:type="gramEnd"/>
      <w:r>
        <w:rPr>
          <w:b/>
          <w:bCs/>
        </w:rPr>
        <w:t xml:space="preserve"> Constant Prices:</w:t>
      </w:r>
    </w:p>
    <w:p w:rsidR="00461B79" w:rsidRDefault="00461B79" w:rsidP="005F05D5">
      <w:pPr>
        <w:bidi w:val="0"/>
        <w:jc w:val="lowKashida"/>
      </w:pPr>
      <w:r>
        <w:t>GDP</w:t>
      </w:r>
      <w:proofErr w:type="gramStart"/>
      <w:r>
        <w:t>,GNI,GNDI</w:t>
      </w:r>
      <w:proofErr w:type="gramEnd"/>
      <w:r>
        <w:t xml:space="preserve"> Per Capita in Palestinian </w:t>
      </w:r>
      <w:r w:rsidR="005F05D5">
        <w:t xml:space="preserve">Territory </w:t>
      </w:r>
      <w:r>
        <w:t xml:space="preserve">for years </w:t>
      </w:r>
      <w:r w:rsidR="005F05D5">
        <w:t xml:space="preserve">of </w:t>
      </w:r>
      <w:r w:rsidR="00B96604">
        <w:t>2009</w:t>
      </w:r>
      <w:r w:rsidR="005F05D5">
        <w:t xml:space="preserve"> and </w:t>
      </w:r>
      <w:r w:rsidR="0007072F">
        <w:t>2010</w:t>
      </w:r>
      <w:r w:rsidR="00957F97">
        <w:t xml:space="preserve"> </w:t>
      </w:r>
      <w:r>
        <w:t>at constant prices (US$) were:</w:t>
      </w:r>
    </w:p>
    <w:p w:rsidR="00461B79" w:rsidRDefault="00461B79" w:rsidP="00461B79">
      <w:pPr>
        <w:bidi w:val="0"/>
        <w:jc w:val="lowKashida"/>
        <w:rPr>
          <w:rtl/>
          <w:lang w:val="en-GB"/>
        </w:rPr>
      </w:pPr>
    </w:p>
    <w:p w:rsidR="00461B79" w:rsidRDefault="00461B79" w:rsidP="00461B79">
      <w:pPr>
        <w:bidi w:val="0"/>
        <w:ind w:left="-180"/>
        <w:rPr>
          <w:rFonts w:cs="Simplified Arabic"/>
          <w:rtl/>
          <w:lang w:val="en-GB"/>
        </w:rPr>
      </w:pPr>
      <w:r>
        <w:rPr>
          <w:rFonts w:ascii="Arial" w:hAnsi="Arial" w:cs="Arial"/>
          <w:sz w:val="18"/>
          <w:szCs w:val="18"/>
          <w:lang w:eastAsia="en-US"/>
        </w:rPr>
        <w:t xml:space="preserve">    </w:t>
      </w:r>
      <w:r>
        <w:rPr>
          <w:rFonts w:ascii="Arial" w:hAnsi="Arial" w:cs="Arial"/>
          <w:snapToGrid w:val="0"/>
          <w:sz w:val="18"/>
          <w:szCs w:val="18"/>
        </w:rPr>
        <w:t xml:space="preserve">Value </w:t>
      </w:r>
      <w:proofErr w:type="gramStart"/>
      <w:r>
        <w:rPr>
          <w:rFonts w:ascii="Arial" w:hAnsi="Arial" w:cs="Arial"/>
          <w:snapToGrid w:val="0"/>
          <w:sz w:val="18"/>
          <w:szCs w:val="18"/>
        </w:rPr>
        <w:t>In</w:t>
      </w:r>
      <w:proofErr w:type="gramEnd"/>
      <w:r>
        <w:rPr>
          <w:rFonts w:ascii="Arial" w:hAnsi="Arial" w:cs="Arial"/>
          <w:snapToGrid w:val="0"/>
          <w:sz w:val="18"/>
          <w:szCs w:val="18"/>
        </w:rPr>
        <w:t xml:space="preserve"> US$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21"/>
        <w:gridCol w:w="2177"/>
        <w:gridCol w:w="2174"/>
      </w:tblGrid>
      <w:tr w:rsidR="00461B79" w:rsidTr="009B22B0">
        <w:trPr>
          <w:trHeight w:val="340"/>
          <w:jc w:val="center"/>
        </w:trPr>
        <w:tc>
          <w:tcPr>
            <w:tcW w:w="2602" w:type="pct"/>
            <w:tcBorders>
              <w:bottom w:val="nil"/>
              <w:right w:val="single" w:sz="4" w:space="0" w:color="auto"/>
            </w:tcBorders>
            <w:vAlign w:val="center"/>
          </w:tcPr>
          <w:p w:rsidR="00461B79" w:rsidRDefault="00461B79" w:rsidP="00FB112E">
            <w:pPr>
              <w:pStyle w:val="BodyText"/>
              <w:jc w:val="left"/>
              <w:rPr>
                <w:rFonts w:ascii="Arial" w:hAnsi="Arial" w:cs="Arial"/>
                <w:b/>
                <w:bCs/>
                <w:sz w:val="18"/>
                <w:szCs w:val="18"/>
              </w:rPr>
            </w:pPr>
            <w:r>
              <w:rPr>
                <w:rFonts w:ascii="Arial" w:hAnsi="Arial" w:cs="Arial"/>
                <w:b/>
                <w:bCs/>
                <w:sz w:val="18"/>
                <w:szCs w:val="18"/>
              </w:rPr>
              <w:t>Indicator</w:t>
            </w:r>
          </w:p>
        </w:tc>
        <w:tc>
          <w:tcPr>
            <w:tcW w:w="1200" w:type="pct"/>
            <w:tcBorders>
              <w:left w:val="single" w:sz="4" w:space="0" w:color="auto"/>
              <w:bottom w:val="single" w:sz="4" w:space="0" w:color="auto"/>
              <w:right w:val="single" w:sz="4" w:space="0" w:color="auto"/>
            </w:tcBorders>
            <w:vAlign w:val="center"/>
          </w:tcPr>
          <w:p w:rsidR="00461B79" w:rsidRDefault="00DD6826" w:rsidP="00461B79">
            <w:pPr>
              <w:bidi w:val="0"/>
              <w:ind w:left="-109"/>
              <w:jc w:val="center"/>
              <w:rPr>
                <w:rFonts w:ascii="Arial" w:hAnsi="Arial" w:cs="Arial"/>
                <w:b/>
                <w:bCs/>
                <w:sz w:val="18"/>
                <w:szCs w:val="18"/>
                <w:lang w:eastAsia="en-US"/>
              </w:rPr>
            </w:pPr>
            <w:r>
              <w:rPr>
                <w:rFonts w:ascii="Arial" w:hAnsi="Arial" w:cs="Arial"/>
                <w:b/>
                <w:bCs/>
                <w:sz w:val="18"/>
                <w:szCs w:val="18"/>
                <w:lang w:val="en-GB" w:eastAsia="en-US"/>
              </w:rPr>
              <w:t>2009</w:t>
            </w:r>
          </w:p>
        </w:tc>
        <w:tc>
          <w:tcPr>
            <w:tcW w:w="1198" w:type="pct"/>
            <w:tcBorders>
              <w:left w:val="single" w:sz="4" w:space="0" w:color="auto"/>
              <w:bottom w:val="single" w:sz="4" w:space="0" w:color="auto"/>
              <w:right w:val="single" w:sz="4" w:space="0" w:color="auto"/>
            </w:tcBorders>
            <w:vAlign w:val="center"/>
          </w:tcPr>
          <w:p w:rsidR="00461B79" w:rsidRDefault="00DD6826" w:rsidP="00461B79">
            <w:pPr>
              <w:bidi w:val="0"/>
              <w:ind w:left="-109"/>
              <w:jc w:val="center"/>
              <w:rPr>
                <w:rFonts w:ascii="Arial" w:hAnsi="Arial" w:cs="Arial"/>
                <w:b/>
                <w:bCs/>
                <w:sz w:val="18"/>
                <w:szCs w:val="18"/>
                <w:lang w:eastAsia="en-US"/>
              </w:rPr>
            </w:pPr>
            <w:r>
              <w:rPr>
                <w:rFonts w:ascii="Arial" w:hAnsi="Arial" w:cs="Arial"/>
                <w:b/>
                <w:bCs/>
                <w:sz w:val="18"/>
                <w:szCs w:val="18"/>
                <w:lang w:val="en-GB" w:eastAsia="en-US"/>
              </w:rPr>
              <w:t>2010</w:t>
            </w:r>
          </w:p>
        </w:tc>
      </w:tr>
      <w:tr w:rsidR="00B02DC6" w:rsidTr="00A71CBD">
        <w:trPr>
          <w:trHeight w:val="340"/>
          <w:jc w:val="center"/>
        </w:trPr>
        <w:tc>
          <w:tcPr>
            <w:tcW w:w="2602" w:type="pct"/>
            <w:tcBorders>
              <w:bottom w:val="nil"/>
              <w:right w:val="single" w:sz="4" w:space="0" w:color="auto"/>
            </w:tcBorders>
            <w:vAlign w:val="center"/>
          </w:tcPr>
          <w:p w:rsidR="00B02DC6" w:rsidRDefault="00B02DC6" w:rsidP="00461B79">
            <w:pPr>
              <w:pStyle w:val="xl34"/>
              <w:rPr>
                <w:rFonts w:ascii="Arial" w:hAnsi="Arial" w:cs="Arial"/>
                <w:sz w:val="18"/>
                <w:szCs w:val="18"/>
              </w:rPr>
            </w:pPr>
            <w:r>
              <w:rPr>
                <w:rFonts w:ascii="Arial" w:hAnsi="Arial" w:cs="Arial"/>
                <w:sz w:val="18"/>
                <w:szCs w:val="18"/>
              </w:rPr>
              <w:t xml:space="preserve">GDP Per Capita </w:t>
            </w:r>
          </w:p>
        </w:tc>
        <w:tc>
          <w:tcPr>
            <w:tcW w:w="1200" w:type="pct"/>
            <w:tcBorders>
              <w:top w:val="single" w:sz="4" w:space="0" w:color="auto"/>
              <w:left w:val="nil"/>
              <w:bottom w:val="nil"/>
              <w:right w:val="nil"/>
            </w:tcBorders>
            <w:vAlign w:val="center"/>
          </w:tcPr>
          <w:p w:rsidR="00B02DC6" w:rsidRDefault="00C62A49" w:rsidP="00A71CBD">
            <w:pPr>
              <w:bidi w:val="0"/>
              <w:jc w:val="right"/>
              <w:rPr>
                <w:rFonts w:ascii="Arial" w:eastAsia="Arial Unicode MS" w:hAnsi="Arial" w:cs="Arial"/>
                <w:sz w:val="18"/>
                <w:szCs w:val="18"/>
              </w:rPr>
            </w:pPr>
            <w:r>
              <w:rPr>
                <w:rFonts w:ascii="Arial" w:eastAsia="Arial Unicode MS" w:hAnsi="Arial" w:cs="Arial"/>
                <w:sz w:val="18"/>
                <w:szCs w:val="18"/>
              </w:rPr>
              <w:t xml:space="preserve">  </w:t>
            </w:r>
            <w:r w:rsidR="00B02DC6">
              <w:rPr>
                <w:rFonts w:ascii="Arial" w:eastAsia="Arial Unicode MS" w:hAnsi="Arial" w:cs="Arial"/>
                <w:sz w:val="18"/>
                <w:szCs w:val="18"/>
              </w:rPr>
              <w:t>1,415.</w:t>
            </w:r>
            <w:r w:rsidR="00F42A0F">
              <w:rPr>
                <w:rFonts w:ascii="Arial" w:eastAsia="Arial Unicode MS" w:hAnsi="Arial" w:cs="Arial"/>
                <w:sz w:val="18"/>
                <w:szCs w:val="18"/>
              </w:rPr>
              <w:t>2</w:t>
            </w:r>
          </w:p>
        </w:tc>
        <w:tc>
          <w:tcPr>
            <w:tcW w:w="1198" w:type="pct"/>
            <w:tcBorders>
              <w:top w:val="single" w:sz="4" w:space="0" w:color="auto"/>
              <w:left w:val="nil"/>
              <w:bottom w:val="nil"/>
              <w:right w:val="single" w:sz="4" w:space="0" w:color="auto"/>
            </w:tcBorders>
            <w:vAlign w:val="center"/>
          </w:tcPr>
          <w:p w:rsidR="00B02DC6" w:rsidRDefault="00C62A49" w:rsidP="00A71CBD">
            <w:pPr>
              <w:bidi w:val="0"/>
              <w:jc w:val="right"/>
              <w:rPr>
                <w:rFonts w:ascii="Arial" w:eastAsia="Arial Unicode MS" w:hAnsi="Arial" w:cs="Arial"/>
                <w:sz w:val="18"/>
                <w:szCs w:val="18"/>
              </w:rPr>
            </w:pPr>
            <w:r>
              <w:rPr>
                <w:rFonts w:ascii="Arial" w:eastAsia="Arial Unicode MS" w:hAnsi="Arial" w:cs="Arial"/>
                <w:sz w:val="18"/>
                <w:szCs w:val="18"/>
              </w:rPr>
              <w:t xml:space="preserve">  </w:t>
            </w:r>
            <w:r w:rsidR="00B02DC6">
              <w:rPr>
                <w:rFonts w:ascii="Arial" w:eastAsia="Arial Unicode MS" w:hAnsi="Arial" w:cs="Arial"/>
                <w:sz w:val="18"/>
                <w:szCs w:val="18"/>
              </w:rPr>
              <w:t>1,509.</w:t>
            </w:r>
            <w:r w:rsidR="00F42A0F">
              <w:rPr>
                <w:rFonts w:ascii="Arial" w:eastAsia="Arial Unicode MS" w:hAnsi="Arial" w:cs="Arial"/>
                <w:sz w:val="18"/>
                <w:szCs w:val="18"/>
              </w:rPr>
              <w:t>9</w:t>
            </w:r>
            <w:r w:rsidR="00B02DC6">
              <w:rPr>
                <w:rFonts w:ascii="Arial" w:eastAsia="Arial Unicode MS" w:hAnsi="Arial" w:cs="Arial"/>
                <w:sz w:val="18"/>
                <w:szCs w:val="18"/>
              </w:rPr>
              <w:t xml:space="preserve"> </w:t>
            </w:r>
          </w:p>
        </w:tc>
      </w:tr>
      <w:tr w:rsidR="00B02DC6" w:rsidTr="00A71CBD">
        <w:trPr>
          <w:trHeight w:val="340"/>
          <w:jc w:val="center"/>
        </w:trPr>
        <w:tc>
          <w:tcPr>
            <w:tcW w:w="2602" w:type="pct"/>
            <w:tcBorders>
              <w:top w:val="nil"/>
              <w:bottom w:val="nil"/>
              <w:right w:val="single" w:sz="4" w:space="0" w:color="auto"/>
            </w:tcBorders>
            <w:vAlign w:val="center"/>
          </w:tcPr>
          <w:p w:rsidR="00B02DC6" w:rsidRDefault="00B02DC6" w:rsidP="00461B79">
            <w:pPr>
              <w:pStyle w:val="BodyText"/>
              <w:jc w:val="left"/>
              <w:rPr>
                <w:rFonts w:ascii="Arial" w:hAnsi="Arial" w:cs="Arial"/>
                <w:sz w:val="18"/>
                <w:szCs w:val="18"/>
              </w:rPr>
            </w:pPr>
            <w:r>
              <w:rPr>
                <w:rFonts w:ascii="Arial" w:hAnsi="Arial" w:cs="Arial"/>
                <w:sz w:val="18"/>
                <w:szCs w:val="18"/>
              </w:rPr>
              <w:t>GNI Per Capita</w:t>
            </w:r>
          </w:p>
        </w:tc>
        <w:tc>
          <w:tcPr>
            <w:tcW w:w="1200" w:type="pct"/>
            <w:tcBorders>
              <w:top w:val="nil"/>
              <w:left w:val="nil"/>
              <w:bottom w:val="nil"/>
              <w:right w:val="nil"/>
            </w:tcBorders>
            <w:vAlign w:val="center"/>
          </w:tcPr>
          <w:p w:rsidR="00B02DC6" w:rsidRDefault="00167827" w:rsidP="00A71CBD">
            <w:pPr>
              <w:bidi w:val="0"/>
              <w:jc w:val="right"/>
              <w:rPr>
                <w:rFonts w:ascii="Arial" w:eastAsia="Arial Unicode MS" w:hAnsi="Arial" w:cs="Arial"/>
                <w:sz w:val="18"/>
                <w:szCs w:val="18"/>
              </w:rPr>
            </w:pPr>
            <w:r>
              <w:rPr>
                <w:rFonts w:ascii="Arial" w:eastAsia="Arial Unicode MS" w:hAnsi="Arial" w:cs="Arial"/>
                <w:sz w:val="18"/>
                <w:szCs w:val="18"/>
              </w:rPr>
              <w:t xml:space="preserve">  </w:t>
            </w:r>
            <w:r w:rsidR="00B02DC6">
              <w:rPr>
                <w:rFonts w:ascii="Arial" w:eastAsia="Arial Unicode MS" w:hAnsi="Arial" w:cs="Arial"/>
                <w:sz w:val="18"/>
                <w:szCs w:val="18"/>
              </w:rPr>
              <w:t>1,542.0</w:t>
            </w:r>
          </w:p>
        </w:tc>
        <w:tc>
          <w:tcPr>
            <w:tcW w:w="1198" w:type="pct"/>
            <w:tcBorders>
              <w:top w:val="nil"/>
              <w:left w:val="nil"/>
              <w:bottom w:val="nil"/>
              <w:right w:val="single" w:sz="4" w:space="0" w:color="auto"/>
            </w:tcBorders>
            <w:vAlign w:val="center"/>
          </w:tcPr>
          <w:p w:rsidR="00B02DC6" w:rsidRDefault="00C62A49" w:rsidP="00A71CBD">
            <w:pPr>
              <w:bidi w:val="0"/>
              <w:jc w:val="right"/>
              <w:rPr>
                <w:rFonts w:ascii="Arial" w:eastAsia="Arial Unicode MS" w:hAnsi="Arial" w:cs="Arial"/>
                <w:sz w:val="18"/>
                <w:szCs w:val="18"/>
              </w:rPr>
            </w:pPr>
            <w:r>
              <w:rPr>
                <w:rFonts w:ascii="Arial" w:eastAsia="Arial Unicode MS" w:hAnsi="Arial" w:cs="Arial"/>
                <w:sz w:val="18"/>
                <w:szCs w:val="18"/>
              </w:rPr>
              <w:t xml:space="preserve">  </w:t>
            </w:r>
            <w:r w:rsidR="00B02DC6">
              <w:rPr>
                <w:rFonts w:ascii="Arial" w:eastAsia="Arial Unicode MS" w:hAnsi="Arial" w:cs="Arial"/>
                <w:sz w:val="18"/>
                <w:szCs w:val="18"/>
              </w:rPr>
              <w:t>1,642.</w:t>
            </w:r>
            <w:r w:rsidR="00F42A0F">
              <w:rPr>
                <w:rFonts w:ascii="Arial" w:eastAsia="Arial Unicode MS" w:hAnsi="Arial" w:cs="Arial"/>
                <w:sz w:val="18"/>
                <w:szCs w:val="18"/>
              </w:rPr>
              <w:t>7</w:t>
            </w:r>
          </w:p>
        </w:tc>
      </w:tr>
      <w:tr w:rsidR="00B02DC6" w:rsidTr="00A71CBD">
        <w:trPr>
          <w:trHeight w:val="340"/>
          <w:jc w:val="center"/>
        </w:trPr>
        <w:tc>
          <w:tcPr>
            <w:tcW w:w="2602" w:type="pct"/>
            <w:tcBorders>
              <w:top w:val="nil"/>
              <w:bottom w:val="single" w:sz="4" w:space="0" w:color="auto"/>
              <w:right w:val="single" w:sz="4" w:space="0" w:color="auto"/>
            </w:tcBorders>
            <w:vAlign w:val="center"/>
          </w:tcPr>
          <w:p w:rsidR="00B02DC6" w:rsidRDefault="00B02DC6" w:rsidP="00461B79">
            <w:pPr>
              <w:pStyle w:val="BodyText"/>
              <w:jc w:val="left"/>
              <w:rPr>
                <w:rFonts w:ascii="Arial" w:hAnsi="Arial" w:cs="Arial"/>
                <w:sz w:val="18"/>
                <w:szCs w:val="18"/>
              </w:rPr>
            </w:pPr>
            <w:r>
              <w:rPr>
                <w:rFonts w:ascii="Arial" w:hAnsi="Arial" w:cs="Arial"/>
                <w:sz w:val="18"/>
                <w:szCs w:val="18"/>
              </w:rPr>
              <w:t>GNDI Per Capita</w:t>
            </w:r>
          </w:p>
        </w:tc>
        <w:tc>
          <w:tcPr>
            <w:tcW w:w="1200" w:type="pct"/>
            <w:tcBorders>
              <w:top w:val="nil"/>
              <w:left w:val="nil"/>
              <w:bottom w:val="single" w:sz="4" w:space="0" w:color="auto"/>
              <w:right w:val="nil"/>
            </w:tcBorders>
            <w:vAlign w:val="center"/>
          </w:tcPr>
          <w:p w:rsidR="00B02DC6" w:rsidRDefault="00C62A49" w:rsidP="00A71CBD">
            <w:pPr>
              <w:bidi w:val="0"/>
              <w:jc w:val="right"/>
              <w:rPr>
                <w:rFonts w:ascii="Arial" w:eastAsia="Arial Unicode MS" w:hAnsi="Arial" w:cs="Arial"/>
                <w:sz w:val="18"/>
                <w:szCs w:val="18"/>
              </w:rPr>
            </w:pPr>
            <w:r>
              <w:rPr>
                <w:rFonts w:ascii="Arial" w:eastAsia="Arial Unicode MS" w:hAnsi="Arial" w:cs="Arial"/>
                <w:sz w:val="18"/>
                <w:szCs w:val="18"/>
              </w:rPr>
              <w:t xml:space="preserve">  </w:t>
            </w:r>
            <w:r w:rsidR="00B02DC6">
              <w:rPr>
                <w:rFonts w:ascii="Arial" w:eastAsia="Arial Unicode MS" w:hAnsi="Arial" w:cs="Arial"/>
                <w:sz w:val="18"/>
                <w:szCs w:val="18"/>
              </w:rPr>
              <w:t>2,076.</w:t>
            </w:r>
            <w:r w:rsidR="00F42A0F">
              <w:rPr>
                <w:rFonts w:ascii="Arial" w:eastAsia="Arial Unicode MS" w:hAnsi="Arial" w:cs="Arial"/>
                <w:sz w:val="18"/>
                <w:szCs w:val="18"/>
              </w:rPr>
              <w:t>8</w:t>
            </w:r>
          </w:p>
        </w:tc>
        <w:tc>
          <w:tcPr>
            <w:tcW w:w="1198" w:type="pct"/>
            <w:tcBorders>
              <w:top w:val="nil"/>
              <w:left w:val="nil"/>
              <w:bottom w:val="single" w:sz="4" w:space="0" w:color="auto"/>
              <w:right w:val="single" w:sz="4" w:space="0" w:color="auto"/>
            </w:tcBorders>
            <w:vAlign w:val="center"/>
          </w:tcPr>
          <w:p w:rsidR="00B02DC6" w:rsidRDefault="00C62A49" w:rsidP="00A71CBD">
            <w:pPr>
              <w:bidi w:val="0"/>
              <w:jc w:val="right"/>
              <w:rPr>
                <w:rFonts w:ascii="Arial" w:eastAsia="Arial Unicode MS" w:hAnsi="Arial" w:cs="Arial"/>
                <w:sz w:val="18"/>
                <w:szCs w:val="18"/>
              </w:rPr>
            </w:pPr>
            <w:r>
              <w:rPr>
                <w:rFonts w:ascii="Arial" w:eastAsia="Arial Unicode MS" w:hAnsi="Arial" w:cs="Arial"/>
                <w:sz w:val="18"/>
                <w:szCs w:val="18"/>
              </w:rPr>
              <w:t xml:space="preserve">   </w:t>
            </w:r>
            <w:r w:rsidR="00B02DC6">
              <w:rPr>
                <w:rFonts w:ascii="Arial" w:eastAsia="Arial Unicode MS" w:hAnsi="Arial" w:cs="Arial"/>
                <w:sz w:val="18"/>
                <w:szCs w:val="18"/>
              </w:rPr>
              <w:t>2,125.</w:t>
            </w:r>
            <w:r w:rsidR="00F42A0F">
              <w:rPr>
                <w:rFonts w:ascii="Arial" w:eastAsia="Arial Unicode MS" w:hAnsi="Arial" w:cs="Arial"/>
                <w:sz w:val="18"/>
                <w:szCs w:val="18"/>
              </w:rPr>
              <w:t>7</w:t>
            </w:r>
          </w:p>
        </w:tc>
      </w:tr>
    </w:tbl>
    <w:p w:rsidR="00461B79" w:rsidRDefault="00461B79" w:rsidP="00461B79">
      <w:pPr>
        <w:bidi w:val="0"/>
        <w:rPr>
          <w:rFonts w:ascii="Arial" w:hAnsi="Arial" w:cs="Arial"/>
          <w:b/>
          <w:bCs/>
        </w:rPr>
      </w:pPr>
    </w:p>
    <w:p w:rsidR="00461B79" w:rsidRPr="00B96604" w:rsidRDefault="00461B79" w:rsidP="00D27235">
      <w:pPr>
        <w:bidi w:val="0"/>
        <w:jc w:val="lowKashida"/>
      </w:pPr>
      <w:r w:rsidRPr="00B96604">
        <w:rPr>
          <w:b/>
          <w:bCs/>
        </w:rPr>
        <w:t>Third: GDP by Expenditure</w:t>
      </w:r>
      <w:r w:rsidR="00D27235">
        <w:rPr>
          <w:b/>
          <w:bCs/>
        </w:rPr>
        <w:t xml:space="preserve"> </w:t>
      </w:r>
    </w:p>
    <w:p w:rsidR="00461B79" w:rsidRPr="00B96604" w:rsidRDefault="00461B79" w:rsidP="00360AF8">
      <w:pPr>
        <w:bidi w:val="0"/>
        <w:jc w:val="lowKashida"/>
      </w:pPr>
      <w:r w:rsidRPr="00B96604">
        <w:t xml:space="preserve">The main findings indicate that final consumption </w:t>
      </w:r>
      <w:proofErr w:type="gramStart"/>
      <w:r w:rsidRPr="00B96604">
        <w:t>in  Palestinian</w:t>
      </w:r>
      <w:proofErr w:type="gramEnd"/>
      <w:r w:rsidRPr="00B96604">
        <w:t xml:space="preserve"> </w:t>
      </w:r>
      <w:r w:rsidR="00360AF8">
        <w:t>t</w:t>
      </w:r>
      <w:r w:rsidR="00360AF8" w:rsidRPr="00B96604">
        <w:t xml:space="preserve">erritory </w:t>
      </w:r>
      <w:r w:rsidRPr="00B96604">
        <w:t>at constant prices for the year</w:t>
      </w:r>
      <w:r w:rsidRPr="00B96604">
        <w:rPr>
          <w:snapToGrid w:val="0"/>
        </w:rPr>
        <w:t xml:space="preserve"> </w:t>
      </w:r>
      <w:r w:rsidR="00360AF8">
        <w:rPr>
          <w:snapToGrid w:val="0"/>
        </w:rPr>
        <w:t xml:space="preserve">of </w:t>
      </w:r>
      <w:r w:rsidR="00DD6826" w:rsidRPr="00B96604">
        <w:rPr>
          <w:snapToGrid w:val="0"/>
        </w:rPr>
        <w:t>2010</w:t>
      </w:r>
      <w:r w:rsidRPr="00B96604">
        <w:rPr>
          <w:snapToGrid w:val="0"/>
        </w:rPr>
        <w:t xml:space="preserve"> reached US$</w:t>
      </w:r>
      <w:r w:rsidR="00452237">
        <w:rPr>
          <w:rFonts w:cs="Simplified Arabic"/>
        </w:rPr>
        <w:t xml:space="preserve"> </w:t>
      </w:r>
      <w:r w:rsidR="00B96604" w:rsidRPr="00B96604">
        <w:rPr>
          <w:rFonts w:cs="Simplified Arabic"/>
        </w:rPr>
        <w:t>7</w:t>
      </w:r>
      <w:r w:rsidRPr="00B96604">
        <w:rPr>
          <w:rFonts w:cs="Simplified Arabic"/>
        </w:rPr>
        <w:t>,</w:t>
      </w:r>
      <w:r w:rsidR="00B96604" w:rsidRPr="00B96604">
        <w:rPr>
          <w:rFonts w:cs="Simplified Arabic"/>
        </w:rPr>
        <w:t>303</w:t>
      </w:r>
      <w:r w:rsidRPr="00B96604">
        <w:rPr>
          <w:rFonts w:cs="Simplified Arabic"/>
        </w:rPr>
        <w:t>.</w:t>
      </w:r>
      <w:r w:rsidR="007F6CF1">
        <w:rPr>
          <w:rFonts w:cs="Simplified Arabic"/>
        </w:rPr>
        <w:t>5</w:t>
      </w:r>
      <w:r w:rsidRPr="00B96604">
        <w:rPr>
          <w:rFonts w:cs="Simplified Arabic"/>
        </w:rPr>
        <w:t xml:space="preserve"> million</w:t>
      </w:r>
      <w:r w:rsidRPr="00B96604">
        <w:rPr>
          <w:rFonts w:cs="Simplified Arabic" w:hint="cs"/>
          <w:rtl/>
          <w:lang w:val="en-GB"/>
        </w:rPr>
        <w:t xml:space="preserve"> </w:t>
      </w:r>
      <w:r w:rsidRPr="00B96604">
        <w:rPr>
          <w:snapToGrid w:val="0"/>
        </w:rPr>
        <w:t xml:space="preserve">with an increase by 9.1% compared </w:t>
      </w:r>
      <w:r w:rsidR="00360AF8">
        <w:rPr>
          <w:snapToGrid w:val="0"/>
        </w:rPr>
        <w:t>to</w:t>
      </w:r>
      <w:r w:rsidRPr="00B96604">
        <w:rPr>
          <w:snapToGrid w:val="0"/>
        </w:rPr>
        <w:t xml:space="preserve"> previous year. The </w:t>
      </w:r>
      <w:r w:rsidRPr="00B96604">
        <w:t>household final consumption contributed the highest percent with 7</w:t>
      </w:r>
      <w:r w:rsidR="00B96604" w:rsidRPr="00B96604">
        <w:t>4</w:t>
      </w:r>
      <w:r w:rsidRPr="00B96604">
        <w:t>.</w:t>
      </w:r>
      <w:r w:rsidR="00B96604" w:rsidRPr="00B96604">
        <w:t>1</w:t>
      </w:r>
      <w:r w:rsidRPr="00B96604">
        <w:t xml:space="preserve">% during </w:t>
      </w:r>
      <w:r w:rsidR="00DD6826" w:rsidRPr="00B96604">
        <w:t>2010</w:t>
      </w:r>
      <w:r w:rsidRPr="00B96604">
        <w:t xml:space="preserve"> reflecting an increase by </w:t>
      </w:r>
      <w:r w:rsidR="00B96604" w:rsidRPr="00B96604">
        <w:t>3.5</w:t>
      </w:r>
      <w:r w:rsidRPr="00B96604">
        <w:t xml:space="preserve">% compared </w:t>
      </w:r>
      <w:r w:rsidR="00360AF8">
        <w:t>to</w:t>
      </w:r>
      <w:r w:rsidRPr="00B96604">
        <w:t xml:space="preserve"> </w:t>
      </w:r>
      <w:r w:rsidR="00DD6826" w:rsidRPr="00B96604">
        <w:t>2009</w:t>
      </w:r>
      <w:r w:rsidRPr="00B96604">
        <w:t>.</w:t>
      </w:r>
    </w:p>
    <w:p w:rsidR="00461B79" w:rsidRPr="00E115B8" w:rsidRDefault="00461B79" w:rsidP="0046068E">
      <w:pPr>
        <w:bidi w:val="0"/>
        <w:jc w:val="lowKashida"/>
        <w:rPr>
          <w:snapToGrid w:val="0"/>
        </w:rPr>
      </w:pPr>
      <w:r w:rsidRPr="00E115B8">
        <w:t xml:space="preserve">The </w:t>
      </w:r>
      <w:r w:rsidR="00957F97" w:rsidRPr="00E115B8">
        <w:t xml:space="preserve">Gross Capital Formation </w:t>
      </w:r>
      <w:r w:rsidR="00957F97">
        <w:t>increase</w:t>
      </w:r>
      <w:r w:rsidR="00CE2506">
        <w:t>d</w:t>
      </w:r>
      <w:r w:rsidRPr="00E115B8">
        <w:t xml:space="preserve"> by </w:t>
      </w:r>
      <w:r w:rsidR="003A4E37" w:rsidRPr="00E115B8">
        <w:rPr>
          <w:rFonts w:hint="cs"/>
          <w:rtl/>
        </w:rPr>
        <w:t>26.9</w:t>
      </w:r>
      <w:r w:rsidRPr="00E115B8">
        <w:t xml:space="preserve">% in </w:t>
      </w:r>
      <w:r w:rsidR="00DD6826" w:rsidRPr="00E115B8">
        <w:t>2010</w:t>
      </w:r>
      <w:r w:rsidRPr="00E115B8">
        <w:t xml:space="preserve"> compared </w:t>
      </w:r>
      <w:r w:rsidR="0046068E">
        <w:t xml:space="preserve">to </w:t>
      </w:r>
      <w:r w:rsidR="00DD6826" w:rsidRPr="00E115B8">
        <w:t>2009</w:t>
      </w:r>
      <w:r w:rsidRPr="00E115B8">
        <w:t xml:space="preserve"> to reach </w:t>
      </w:r>
      <w:r w:rsidR="00CE2506">
        <w:rPr>
          <w:snapToGrid w:val="0"/>
        </w:rPr>
        <w:t xml:space="preserve">US$ </w:t>
      </w:r>
      <w:r w:rsidR="00CE2506" w:rsidRPr="00E115B8">
        <w:rPr>
          <w:rFonts w:cs="Simplified Arabic"/>
        </w:rPr>
        <w:t>1,443.2</w:t>
      </w:r>
      <w:r w:rsidR="00CE2506" w:rsidRPr="00E115B8">
        <w:rPr>
          <w:rFonts w:cs="Simplified Arabic" w:hint="cs"/>
          <w:rtl/>
          <w:lang w:val="en-GB"/>
        </w:rPr>
        <w:t xml:space="preserve"> </w:t>
      </w:r>
      <w:r w:rsidRPr="00E115B8">
        <w:rPr>
          <w:snapToGrid w:val="0"/>
        </w:rPr>
        <w:t xml:space="preserve">million. The trade balance recorded a deficit during this period, amounting to US$ </w:t>
      </w:r>
      <w:r w:rsidRPr="00E115B8">
        <w:rPr>
          <w:rFonts w:cs="Simplified Arabic"/>
        </w:rPr>
        <w:t>2,</w:t>
      </w:r>
      <w:r w:rsidR="003A4E37" w:rsidRPr="00E115B8">
        <w:rPr>
          <w:rFonts w:cs="Simplified Arabic"/>
        </w:rPr>
        <w:t>992</w:t>
      </w:r>
      <w:r w:rsidRPr="00E115B8">
        <w:rPr>
          <w:rFonts w:cs="Simplified Arabic"/>
        </w:rPr>
        <w:t>.4</w:t>
      </w:r>
      <w:r w:rsidRPr="00E115B8">
        <w:rPr>
          <w:rFonts w:cs="Simplified Arabic" w:hint="cs"/>
          <w:rtl/>
          <w:lang w:val="en-GB"/>
        </w:rPr>
        <w:t xml:space="preserve"> </w:t>
      </w:r>
      <w:r w:rsidRPr="00E115B8">
        <w:rPr>
          <w:snapToGrid w:val="0"/>
        </w:rPr>
        <w:t xml:space="preserve">million </w:t>
      </w:r>
      <w:r w:rsidR="00CE2506">
        <w:rPr>
          <w:snapToGrid w:val="0"/>
        </w:rPr>
        <w:t xml:space="preserve">and that deficit </w:t>
      </w:r>
      <w:r w:rsidRPr="00E115B8">
        <w:rPr>
          <w:snapToGrid w:val="0"/>
        </w:rPr>
        <w:t xml:space="preserve">increased by </w:t>
      </w:r>
      <w:r w:rsidR="003A4E37" w:rsidRPr="00E115B8">
        <w:rPr>
          <w:snapToGrid w:val="0"/>
        </w:rPr>
        <w:t>15.4</w:t>
      </w:r>
      <w:r w:rsidRPr="00E115B8">
        <w:rPr>
          <w:snapToGrid w:val="0"/>
        </w:rPr>
        <w:t xml:space="preserve">% compared </w:t>
      </w:r>
      <w:r w:rsidR="0046068E">
        <w:rPr>
          <w:snapToGrid w:val="0"/>
        </w:rPr>
        <w:t>to</w:t>
      </w:r>
      <w:r w:rsidR="00DD6826" w:rsidRPr="00E115B8">
        <w:rPr>
          <w:snapToGrid w:val="0"/>
        </w:rPr>
        <w:t>2009</w:t>
      </w:r>
      <w:r w:rsidRPr="00E115B8">
        <w:rPr>
          <w:snapToGrid w:val="0"/>
        </w:rPr>
        <w:t>.</w:t>
      </w:r>
    </w:p>
    <w:p w:rsidR="00461B79" w:rsidRDefault="00461B79" w:rsidP="00A365B5">
      <w:pPr>
        <w:bidi w:val="0"/>
        <w:jc w:val="center"/>
        <w:rPr>
          <w:rFonts w:asciiTheme="minorBidi" w:hAnsiTheme="minorBidi" w:cstheme="minorBidi"/>
          <w:b/>
          <w:bCs/>
          <w:sz w:val="22"/>
          <w:szCs w:val="22"/>
        </w:rPr>
      </w:pPr>
      <w:r w:rsidRPr="002B0D9C">
        <w:rPr>
          <w:rFonts w:asciiTheme="minorBidi" w:hAnsiTheme="minorBidi" w:cstheme="minorBidi"/>
          <w:b/>
          <w:bCs/>
          <w:sz w:val="22"/>
          <w:szCs w:val="22"/>
        </w:rPr>
        <w:lastRenderedPageBreak/>
        <w:t xml:space="preserve">The components of GDP by expenditure in the Palestinian </w:t>
      </w:r>
      <w:r w:rsidR="00A365B5">
        <w:rPr>
          <w:rFonts w:asciiTheme="minorBidi" w:hAnsiTheme="minorBidi" w:cstheme="minorBidi"/>
          <w:b/>
          <w:bCs/>
          <w:sz w:val="22"/>
          <w:szCs w:val="22"/>
        </w:rPr>
        <w:t>t</w:t>
      </w:r>
      <w:r w:rsidR="00A365B5" w:rsidRPr="002B0D9C">
        <w:rPr>
          <w:rFonts w:asciiTheme="minorBidi" w:hAnsiTheme="minorBidi" w:cstheme="minorBidi"/>
          <w:b/>
          <w:bCs/>
          <w:sz w:val="22"/>
          <w:szCs w:val="22"/>
        </w:rPr>
        <w:t xml:space="preserve">erritory </w:t>
      </w:r>
      <w:r w:rsidRPr="002B0D9C">
        <w:rPr>
          <w:rFonts w:asciiTheme="minorBidi" w:hAnsiTheme="minorBidi" w:cstheme="minorBidi"/>
          <w:b/>
          <w:bCs/>
          <w:sz w:val="22"/>
          <w:szCs w:val="22"/>
        </w:rPr>
        <w:t xml:space="preserve">for the years </w:t>
      </w:r>
      <w:proofErr w:type="gramStart"/>
      <w:r w:rsidR="00A365B5">
        <w:rPr>
          <w:rFonts w:asciiTheme="minorBidi" w:hAnsiTheme="minorBidi" w:cstheme="minorBidi"/>
          <w:b/>
          <w:bCs/>
          <w:sz w:val="22"/>
          <w:szCs w:val="22"/>
        </w:rPr>
        <w:t xml:space="preserve">between </w:t>
      </w:r>
      <w:r w:rsidRPr="002B0D9C">
        <w:rPr>
          <w:rFonts w:asciiTheme="minorBidi" w:hAnsiTheme="minorBidi" w:cstheme="minorBidi"/>
          <w:b/>
          <w:bCs/>
          <w:sz w:val="22"/>
          <w:szCs w:val="22"/>
        </w:rPr>
        <w:t>(2005-</w:t>
      </w:r>
      <w:r w:rsidR="00DD6826" w:rsidRPr="002B0D9C">
        <w:rPr>
          <w:rFonts w:asciiTheme="minorBidi" w:hAnsiTheme="minorBidi" w:cstheme="minorBidi"/>
          <w:b/>
          <w:bCs/>
          <w:sz w:val="22"/>
          <w:szCs w:val="22"/>
        </w:rPr>
        <w:t>2010</w:t>
      </w:r>
      <w:r w:rsidRPr="002B0D9C">
        <w:rPr>
          <w:rFonts w:asciiTheme="minorBidi" w:hAnsiTheme="minorBidi" w:cstheme="minorBidi"/>
          <w:b/>
          <w:bCs/>
          <w:sz w:val="22"/>
          <w:szCs w:val="22"/>
        </w:rPr>
        <w:t>)</w:t>
      </w:r>
      <w:proofErr w:type="gramEnd"/>
      <w:r w:rsidRPr="002B0D9C">
        <w:rPr>
          <w:rFonts w:asciiTheme="minorBidi" w:hAnsiTheme="minorBidi" w:cstheme="minorBidi"/>
          <w:b/>
          <w:bCs/>
          <w:sz w:val="22"/>
          <w:szCs w:val="22"/>
        </w:rPr>
        <w:t xml:space="preserve"> at constant prices (US$ million): 2004 is</w:t>
      </w:r>
      <w:r w:rsidR="00A365B5">
        <w:rPr>
          <w:rFonts w:asciiTheme="minorBidi" w:hAnsiTheme="minorBidi" w:cstheme="minorBidi"/>
          <w:b/>
          <w:bCs/>
          <w:sz w:val="22"/>
          <w:szCs w:val="22"/>
        </w:rPr>
        <w:t xml:space="preserve"> a</w:t>
      </w:r>
      <w:r w:rsidRPr="002B0D9C">
        <w:rPr>
          <w:rFonts w:asciiTheme="minorBidi" w:hAnsiTheme="minorBidi" w:cstheme="minorBidi"/>
          <w:b/>
          <w:bCs/>
          <w:sz w:val="22"/>
          <w:szCs w:val="22"/>
        </w:rPr>
        <w:t xml:space="preserve"> base year</w:t>
      </w:r>
    </w:p>
    <w:tbl>
      <w:tblPr>
        <w:tblStyle w:val="TableGrid"/>
        <w:tblW w:w="0" w:type="auto"/>
        <w:tblInd w:w="108" w:type="dxa"/>
        <w:tblLook w:val="04A0"/>
      </w:tblPr>
      <w:tblGrid>
        <w:gridCol w:w="9072"/>
      </w:tblGrid>
      <w:tr w:rsidR="002B0D9C" w:rsidTr="00D27235">
        <w:tc>
          <w:tcPr>
            <w:tcW w:w="9072" w:type="dxa"/>
          </w:tcPr>
          <w:p w:rsidR="002B0D9C" w:rsidRDefault="002B0D9C" w:rsidP="002B0D9C">
            <w:pPr>
              <w:bidi w:val="0"/>
              <w:jc w:val="center"/>
              <w:rPr>
                <w:rFonts w:asciiTheme="minorBidi" w:hAnsiTheme="minorBidi" w:cstheme="minorBidi"/>
                <w:b/>
                <w:bCs/>
                <w:sz w:val="22"/>
                <w:szCs w:val="22"/>
              </w:rPr>
            </w:pPr>
            <w:r w:rsidRPr="002B0D9C">
              <w:rPr>
                <w:rFonts w:asciiTheme="minorBidi" w:hAnsiTheme="minorBidi" w:cstheme="minorBidi"/>
                <w:b/>
                <w:bCs/>
                <w:noProof/>
                <w:sz w:val="22"/>
                <w:szCs w:val="22"/>
                <w:lang w:eastAsia="en-US"/>
              </w:rPr>
              <w:drawing>
                <wp:inline distT="0" distB="0" distL="0" distR="0">
                  <wp:extent cx="5543550" cy="3143250"/>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461B79" w:rsidRPr="00C4750B" w:rsidRDefault="00461B79" w:rsidP="00461B79">
      <w:pPr>
        <w:bidi w:val="0"/>
        <w:jc w:val="center"/>
        <w:rPr>
          <w:b/>
          <w:bCs/>
          <w:sz w:val="28"/>
          <w:szCs w:val="28"/>
        </w:rPr>
      </w:pPr>
    </w:p>
    <w:p w:rsidR="00461B79" w:rsidRDefault="00461B79" w:rsidP="00D27235">
      <w:pPr>
        <w:numPr>
          <w:ilvl w:val="1"/>
          <w:numId w:val="14"/>
        </w:numPr>
        <w:bidi w:val="0"/>
        <w:ind w:right="420"/>
        <w:jc w:val="lowKashida"/>
        <w:rPr>
          <w:b/>
          <w:bCs/>
        </w:rPr>
      </w:pPr>
      <w:r>
        <w:rPr>
          <w:b/>
          <w:bCs/>
        </w:rPr>
        <w:t>Institutional National Accounts</w:t>
      </w:r>
      <w:r w:rsidR="00D27235">
        <w:rPr>
          <w:b/>
          <w:bCs/>
        </w:rPr>
        <w:t xml:space="preserve"> </w:t>
      </w:r>
    </w:p>
    <w:p w:rsidR="00461B79" w:rsidRDefault="00461B79" w:rsidP="00F21219">
      <w:pPr>
        <w:bidi w:val="0"/>
        <w:jc w:val="lowKashida"/>
        <w:rPr>
          <w:lang w:eastAsia="en-US"/>
        </w:rPr>
      </w:pPr>
      <w:r>
        <w:rPr>
          <w:rFonts w:eastAsia="Arial Unicode MS"/>
        </w:rPr>
        <w:t>The</w:t>
      </w:r>
      <w:r>
        <w:rPr>
          <w:lang w:eastAsia="en-US"/>
        </w:rPr>
        <w:t xml:space="preserve"> findings of the year</w:t>
      </w:r>
      <w:r w:rsidR="0011085E">
        <w:rPr>
          <w:lang w:eastAsia="en-US"/>
        </w:rPr>
        <w:t xml:space="preserve"> </w:t>
      </w:r>
      <w:r w:rsidR="0007072F">
        <w:rPr>
          <w:lang w:eastAsia="en-US"/>
        </w:rPr>
        <w:t>2010</w:t>
      </w:r>
      <w:r w:rsidR="007F6CF1">
        <w:rPr>
          <w:lang w:eastAsia="en-US"/>
        </w:rPr>
        <w:t xml:space="preserve"> </w:t>
      </w:r>
      <w:r>
        <w:rPr>
          <w:lang w:eastAsia="en-US"/>
        </w:rPr>
        <w:t>at c</w:t>
      </w:r>
      <w:r w:rsidR="00926B67">
        <w:rPr>
          <w:lang w:eastAsia="en-US"/>
        </w:rPr>
        <w:t>urrent</w:t>
      </w:r>
      <w:r>
        <w:rPr>
          <w:lang w:eastAsia="en-US"/>
        </w:rPr>
        <w:t xml:space="preserve"> prices of the Palestinian Territory show that the Households sector provided the highest contribution to GDP followed by</w:t>
      </w:r>
      <w:r w:rsidR="004B6320">
        <w:rPr>
          <w:lang w:eastAsia="en-US"/>
        </w:rPr>
        <w:t xml:space="preserve"> </w:t>
      </w:r>
      <w:r>
        <w:rPr>
          <w:snapToGrid w:val="0"/>
        </w:rPr>
        <w:t>Non-Financial enterprises sector</w:t>
      </w:r>
      <w:r>
        <w:rPr>
          <w:lang w:eastAsia="en-US"/>
        </w:rPr>
        <w:t>. The financial enterprises</w:t>
      </w:r>
      <w:r>
        <w:rPr>
          <w:snapToGrid w:val="0"/>
        </w:rPr>
        <w:t xml:space="preserve"> sector</w:t>
      </w:r>
      <w:r>
        <w:rPr>
          <w:lang w:eastAsia="en-US"/>
        </w:rPr>
        <w:t xml:space="preserve"> provided the lowest contribution in </w:t>
      </w:r>
      <w:r w:rsidR="00DD6826">
        <w:rPr>
          <w:lang w:eastAsia="en-US"/>
        </w:rPr>
        <w:t>2010</w:t>
      </w:r>
      <w:r>
        <w:rPr>
          <w:lang w:eastAsia="en-US"/>
        </w:rPr>
        <w:t xml:space="preserve"> at c</w:t>
      </w:r>
      <w:r w:rsidR="00642F81">
        <w:rPr>
          <w:lang w:eastAsia="en-US"/>
        </w:rPr>
        <w:t>urrent</w:t>
      </w:r>
      <w:r>
        <w:rPr>
          <w:lang w:eastAsia="en-US"/>
        </w:rPr>
        <w:t xml:space="preserve"> prices, as the </w:t>
      </w:r>
      <w:r w:rsidR="00F21219">
        <w:rPr>
          <w:lang w:eastAsia="en-US"/>
        </w:rPr>
        <w:t xml:space="preserve">below </w:t>
      </w:r>
      <w:r>
        <w:rPr>
          <w:lang w:eastAsia="en-US"/>
        </w:rPr>
        <w:t xml:space="preserve">table </w:t>
      </w:r>
      <w:r w:rsidR="00F21219">
        <w:rPr>
          <w:lang w:eastAsia="en-US"/>
        </w:rPr>
        <w:t>shows</w:t>
      </w:r>
      <w:proofErr w:type="gramStart"/>
      <w:r w:rsidR="00F21219">
        <w:rPr>
          <w:lang w:eastAsia="en-US"/>
        </w:rPr>
        <w:t>:</w:t>
      </w:r>
      <w:r>
        <w:rPr>
          <w:lang w:eastAsia="en-US"/>
        </w:rPr>
        <w:t>.</w:t>
      </w:r>
      <w:proofErr w:type="gramEnd"/>
      <w:r w:rsidR="00811D78">
        <w:rPr>
          <w:lang w:eastAsia="en-US"/>
        </w:rPr>
        <w:t xml:space="preserve"> </w:t>
      </w:r>
    </w:p>
    <w:p w:rsidR="00461B79" w:rsidRDefault="00461B79" w:rsidP="00461B79">
      <w:pPr>
        <w:bidi w:val="0"/>
        <w:jc w:val="center"/>
        <w:rPr>
          <w:rFonts w:ascii="Arial" w:hAnsi="Arial" w:cs="Arial"/>
          <w:b/>
          <w:bCs/>
        </w:rPr>
      </w:pPr>
    </w:p>
    <w:p w:rsidR="00461B79" w:rsidRDefault="008A171D" w:rsidP="00E47B8C">
      <w:pPr>
        <w:bidi w:val="0"/>
        <w:jc w:val="center"/>
        <w:rPr>
          <w:rFonts w:ascii="Arial" w:eastAsia="Arial Unicode MS" w:hAnsi="Arial" w:cs="Arial"/>
          <w:b/>
          <w:bCs/>
          <w:sz w:val="22"/>
          <w:szCs w:val="22"/>
        </w:rPr>
      </w:pPr>
      <w:r>
        <w:rPr>
          <w:rFonts w:ascii="Arial" w:hAnsi="Arial" w:cs="Arial"/>
          <w:b/>
          <w:bCs/>
          <w:sz w:val="22"/>
          <w:szCs w:val="22"/>
        </w:rPr>
        <w:t>Gross domestic p</w:t>
      </w:r>
      <w:r w:rsidR="00461B79">
        <w:rPr>
          <w:rFonts w:ascii="Arial" w:hAnsi="Arial" w:cs="Arial"/>
          <w:b/>
          <w:bCs/>
          <w:sz w:val="22"/>
          <w:szCs w:val="22"/>
        </w:rPr>
        <w:t xml:space="preserve">roduct </w:t>
      </w:r>
      <w:proofErr w:type="gramStart"/>
      <w:r w:rsidR="00461B79">
        <w:rPr>
          <w:rFonts w:ascii="Arial" w:hAnsi="Arial" w:cs="Arial"/>
          <w:b/>
          <w:bCs/>
          <w:sz w:val="22"/>
          <w:szCs w:val="22"/>
        </w:rPr>
        <w:t>in  Palestinian</w:t>
      </w:r>
      <w:proofErr w:type="gramEnd"/>
      <w:r w:rsidR="00461B79">
        <w:rPr>
          <w:rFonts w:ascii="Arial" w:hAnsi="Arial" w:cs="Arial"/>
          <w:b/>
          <w:bCs/>
          <w:sz w:val="22"/>
          <w:szCs w:val="22"/>
        </w:rPr>
        <w:t xml:space="preserve"> </w:t>
      </w:r>
      <w:r w:rsidR="00811D78">
        <w:rPr>
          <w:rFonts w:ascii="Arial" w:hAnsi="Arial" w:cs="Arial"/>
          <w:b/>
          <w:bCs/>
          <w:sz w:val="22"/>
          <w:szCs w:val="22"/>
        </w:rPr>
        <w:t xml:space="preserve">territory </w:t>
      </w:r>
      <w:r w:rsidR="00461B79">
        <w:rPr>
          <w:rFonts w:ascii="Arial" w:hAnsi="Arial" w:cs="Arial"/>
          <w:b/>
          <w:bCs/>
          <w:sz w:val="22"/>
          <w:szCs w:val="22"/>
        </w:rPr>
        <w:t xml:space="preserve">by  </w:t>
      </w:r>
      <w:r w:rsidR="005A78A4">
        <w:rPr>
          <w:rFonts w:ascii="Arial" w:hAnsi="Arial" w:cs="Arial"/>
          <w:b/>
          <w:bCs/>
          <w:sz w:val="22"/>
          <w:szCs w:val="22"/>
        </w:rPr>
        <w:t>i</w:t>
      </w:r>
      <w:r w:rsidR="00461B79">
        <w:rPr>
          <w:rFonts w:ascii="Arial" w:hAnsi="Arial" w:cs="Arial"/>
          <w:b/>
          <w:bCs/>
          <w:sz w:val="22"/>
          <w:szCs w:val="22"/>
        </w:rPr>
        <w:t xml:space="preserve">nstitutional </w:t>
      </w:r>
      <w:r w:rsidR="005A78A4">
        <w:rPr>
          <w:rFonts w:ascii="Arial" w:hAnsi="Arial" w:cs="Arial"/>
          <w:b/>
          <w:bCs/>
          <w:sz w:val="22"/>
          <w:szCs w:val="22"/>
        </w:rPr>
        <w:t>sector for the y</w:t>
      </w:r>
      <w:r w:rsidR="00461B79">
        <w:rPr>
          <w:rFonts w:ascii="Arial" w:hAnsi="Arial" w:cs="Arial"/>
          <w:b/>
          <w:bCs/>
          <w:sz w:val="22"/>
          <w:szCs w:val="22"/>
        </w:rPr>
        <w:t xml:space="preserve">ears </w:t>
      </w:r>
      <w:r w:rsidR="00811D78">
        <w:rPr>
          <w:rFonts w:ascii="Arial" w:hAnsi="Arial" w:cs="Arial"/>
          <w:b/>
          <w:bCs/>
          <w:sz w:val="22"/>
          <w:szCs w:val="22"/>
        </w:rPr>
        <w:t xml:space="preserve">of </w:t>
      </w:r>
      <w:r w:rsidR="00461B79">
        <w:rPr>
          <w:rFonts w:ascii="Arial" w:hAnsi="Arial" w:cs="Arial"/>
          <w:b/>
          <w:bCs/>
          <w:sz w:val="22"/>
          <w:szCs w:val="22"/>
        </w:rPr>
        <w:t>(</w:t>
      </w:r>
      <w:r w:rsidR="00DD6826">
        <w:rPr>
          <w:rFonts w:ascii="Arial" w:hAnsi="Arial" w:cs="Arial"/>
          <w:b/>
          <w:bCs/>
          <w:sz w:val="22"/>
          <w:szCs w:val="22"/>
        </w:rPr>
        <w:t>2009</w:t>
      </w:r>
      <w:r w:rsidR="00E47B8C">
        <w:rPr>
          <w:rFonts w:ascii="Arial" w:hAnsi="Arial" w:cs="Arial"/>
          <w:b/>
          <w:bCs/>
          <w:sz w:val="22"/>
          <w:szCs w:val="22"/>
        </w:rPr>
        <w:t>,</w:t>
      </w:r>
      <w:r w:rsidR="00811D78">
        <w:rPr>
          <w:rFonts w:ascii="Arial" w:hAnsi="Arial" w:cs="Arial"/>
          <w:b/>
          <w:bCs/>
          <w:sz w:val="22"/>
          <w:szCs w:val="22"/>
        </w:rPr>
        <w:t xml:space="preserve"> </w:t>
      </w:r>
      <w:r w:rsidR="00DD6826">
        <w:rPr>
          <w:rFonts w:ascii="Arial" w:hAnsi="Arial" w:cs="Arial"/>
          <w:b/>
          <w:bCs/>
          <w:sz w:val="22"/>
          <w:szCs w:val="22"/>
        </w:rPr>
        <w:t>2010</w:t>
      </w:r>
      <w:r w:rsidR="007F33D9">
        <w:rPr>
          <w:rFonts w:ascii="Arial" w:hAnsi="Arial" w:cs="Arial"/>
          <w:b/>
          <w:bCs/>
          <w:sz w:val="22"/>
          <w:szCs w:val="22"/>
        </w:rPr>
        <w:t xml:space="preserve">) at </w:t>
      </w:r>
      <w:r w:rsidR="005A78A4">
        <w:rPr>
          <w:rFonts w:ascii="Arial" w:hAnsi="Arial" w:cs="Arial"/>
          <w:b/>
          <w:bCs/>
          <w:sz w:val="22"/>
          <w:szCs w:val="22"/>
        </w:rPr>
        <w:t>c</w:t>
      </w:r>
      <w:r w:rsidR="00642F81">
        <w:rPr>
          <w:rFonts w:ascii="Arial" w:hAnsi="Arial" w:cs="Arial"/>
          <w:b/>
          <w:bCs/>
          <w:sz w:val="22"/>
          <w:szCs w:val="22"/>
        </w:rPr>
        <w:t xml:space="preserve">urrent </w:t>
      </w:r>
      <w:r w:rsidR="005A78A4">
        <w:rPr>
          <w:rFonts w:ascii="Arial" w:hAnsi="Arial" w:cs="Arial"/>
          <w:b/>
          <w:bCs/>
          <w:sz w:val="22"/>
          <w:szCs w:val="22"/>
        </w:rPr>
        <w:t>p</w:t>
      </w:r>
      <w:r w:rsidR="00461B79">
        <w:rPr>
          <w:rFonts w:ascii="Arial" w:hAnsi="Arial" w:cs="Arial"/>
          <w:b/>
          <w:bCs/>
          <w:sz w:val="22"/>
          <w:szCs w:val="22"/>
        </w:rPr>
        <w:t>rices</w:t>
      </w:r>
    </w:p>
    <w:p w:rsidR="00461B79" w:rsidRDefault="00461B79" w:rsidP="00461B79">
      <w:pPr>
        <w:bidi w:val="0"/>
        <w:jc w:val="center"/>
        <w:rPr>
          <w:rFonts w:ascii="Arial" w:eastAsia="Arial Unicode MS" w:hAnsi="Arial" w:cs="Arial"/>
          <w:b/>
          <w:bCs/>
          <w:sz w:val="12"/>
          <w:szCs w:val="12"/>
        </w:rPr>
      </w:pPr>
    </w:p>
    <w:p w:rsidR="00461B79" w:rsidRDefault="00461B79" w:rsidP="00461B79">
      <w:pPr>
        <w:bidi w:val="0"/>
        <w:ind w:left="-180"/>
        <w:rPr>
          <w:rFonts w:ascii="Arial" w:hAnsi="Arial" w:cs="Arial"/>
          <w:snapToGrid w:val="0"/>
          <w:sz w:val="18"/>
          <w:szCs w:val="18"/>
        </w:rPr>
      </w:pPr>
      <w:r>
        <w:rPr>
          <w:rFonts w:ascii="Arial" w:hAnsi="Arial" w:cs="Arial"/>
          <w:sz w:val="18"/>
          <w:szCs w:val="18"/>
          <w:lang w:eastAsia="en-US"/>
        </w:rPr>
        <w:t xml:space="preserve">    (</w:t>
      </w:r>
      <w:r>
        <w:rPr>
          <w:rFonts w:ascii="Arial" w:hAnsi="Arial" w:cs="Arial"/>
          <w:snapToGrid w:val="0"/>
          <w:sz w:val="18"/>
          <w:szCs w:val="18"/>
        </w:rPr>
        <w:t xml:space="preserve">Value </w:t>
      </w:r>
      <w:proofErr w:type="gramStart"/>
      <w:r>
        <w:rPr>
          <w:rFonts w:ascii="Arial" w:hAnsi="Arial" w:cs="Arial"/>
          <w:snapToGrid w:val="0"/>
          <w:sz w:val="18"/>
          <w:szCs w:val="18"/>
        </w:rPr>
        <w:t>In</w:t>
      </w:r>
      <w:proofErr w:type="gramEnd"/>
      <w:r>
        <w:rPr>
          <w:rFonts w:ascii="Arial" w:hAnsi="Arial" w:cs="Arial"/>
          <w:snapToGrid w:val="0"/>
          <w:sz w:val="18"/>
          <w:szCs w:val="18"/>
        </w:rPr>
        <w:t xml:space="preserve"> US$ Million)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23"/>
        <w:gridCol w:w="2281"/>
        <w:gridCol w:w="2283"/>
      </w:tblGrid>
      <w:tr w:rsidR="00DD6826" w:rsidTr="00DD6826">
        <w:trPr>
          <w:cantSplit/>
          <w:trHeight w:val="340"/>
          <w:jc w:val="center"/>
        </w:trPr>
        <w:tc>
          <w:tcPr>
            <w:tcW w:w="2543" w:type="pct"/>
            <w:vMerge w:val="restart"/>
            <w:tcBorders>
              <w:right w:val="single" w:sz="4" w:space="0" w:color="auto"/>
            </w:tcBorders>
            <w:vAlign w:val="center"/>
          </w:tcPr>
          <w:p w:rsidR="00DD6826" w:rsidRDefault="005A78A4" w:rsidP="00DD59F1">
            <w:pPr>
              <w:pStyle w:val="Heading5"/>
              <w:jc w:val="left"/>
              <w:rPr>
                <w:lang w:eastAsia="ar-SA"/>
              </w:rPr>
            </w:pPr>
            <w:r>
              <w:t>Sector</w:t>
            </w:r>
          </w:p>
        </w:tc>
        <w:tc>
          <w:tcPr>
            <w:tcW w:w="2457" w:type="pct"/>
            <w:gridSpan w:val="2"/>
            <w:tcBorders>
              <w:bottom w:val="nil"/>
              <w:right w:val="single" w:sz="4" w:space="0" w:color="auto"/>
            </w:tcBorders>
            <w:vAlign w:val="center"/>
          </w:tcPr>
          <w:p w:rsidR="00DD6826" w:rsidRDefault="005A78A4" w:rsidP="00461B79">
            <w:pPr>
              <w:pStyle w:val="Heading5"/>
              <w:rPr>
                <w:lang w:eastAsia="ar-SA"/>
              </w:rPr>
            </w:pPr>
            <w:r>
              <w:rPr>
                <w:lang w:eastAsia="ar-SA"/>
              </w:rPr>
              <w:t xml:space="preserve">GDP </w:t>
            </w:r>
          </w:p>
        </w:tc>
      </w:tr>
      <w:tr w:rsidR="00DD6826" w:rsidTr="007F33D9">
        <w:trPr>
          <w:cantSplit/>
          <w:trHeight w:val="340"/>
          <w:jc w:val="center"/>
        </w:trPr>
        <w:tc>
          <w:tcPr>
            <w:tcW w:w="2543" w:type="pct"/>
            <w:vMerge/>
            <w:tcBorders>
              <w:bottom w:val="single" w:sz="4" w:space="0" w:color="auto"/>
              <w:right w:val="single" w:sz="4" w:space="0" w:color="auto"/>
            </w:tcBorders>
            <w:vAlign w:val="center"/>
          </w:tcPr>
          <w:p w:rsidR="00DD6826" w:rsidRDefault="00DD6826" w:rsidP="00461B79">
            <w:pPr>
              <w:pStyle w:val="Heading5"/>
              <w:rPr>
                <w:lang w:eastAsia="ar-SA"/>
              </w:rPr>
            </w:pPr>
          </w:p>
        </w:tc>
        <w:tc>
          <w:tcPr>
            <w:tcW w:w="1228" w:type="pct"/>
            <w:tcBorders>
              <w:bottom w:val="single" w:sz="4" w:space="0" w:color="auto"/>
              <w:right w:val="single" w:sz="4" w:space="0" w:color="auto"/>
            </w:tcBorders>
            <w:vAlign w:val="center"/>
          </w:tcPr>
          <w:p w:rsidR="00DD6826" w:rsidRDefault="00DD6826" w:rsidP="00461B79">
            <w:pPr>
              <w:pStyle w:val="Heading5"/>
              <w:rPr>
                <w:lang w:eastAsia="ar-SA"/>
              </w:rPr>
            </w:pPr>
            <w:r>
              <w:rPr>
                <w:lang w:eastAsia="ar-SA"/>
              </w:rPr>
              <w:t>2009</w:t>
            </w:r>
          </w:p>
        </w:tc>
        <w:tc>
          <w:tcPr>
            <w:tcW w:w="1229" w:type="pct"/>
            <w:tcBorders>
              <w:bottom w:val="single" w:sz="4" w:space="0" w:color="auto"/>
              <w:right w:val="single" w:sz="4" w:space="0" w:color="auto"/>
            </w:tcBorders>
            <w:vAlign w:val="center"/>
          </w:tcPr>
          <w:p w:rsidR="00DD6826" w:rsidRDefault="00DD6826" w:rsidP="00461B79">
            <w:pPr>
              <w:pStyle w:val="Heading5"/>
              <w:rPr>
                <w:lang w:eastAsia="ar-SA"/>
              </w:rPr>
            </w:pPr>
            <w:r>
              <w:rPr>
                <w:lang w:eastAsia="ar-SA"/>
              </w:rPr>
              <w:t>2010</w:t>
            </w:r>
          </w:p>
        </w:tc>
      </w:tr>
      <w:tr w:rsidR="007F33D9" w:rsidTr="007F33D9">
        <w:trPr>
          <w:cantSplit/>
          <w:trHeight w:val="181"/>
          <w:jc w:val="center"/>
        </w:trPr>
        <w:tc>
          <w:tcPr>
            <w:tcW w:w="2543" w:type="pct"/>
            <w:tcBorders>
              <w:bottom w:val="nil"/>
              <w:right w:val="single" w:sz="4" w:space="0" w:color="auto"/>
            </w:tcBorders>
            <w:vAlign w:val="center"/>
          </w:tcPr>
          <w:p w:rsidR="007F33D9" w:rsidRDefault="007F33D9" w:rsidP="00461B79">
            <w:pPr>
              <w:bidi w:val="0"/>
              <w:rPr>
                <w:rFonts w:ascii="Arial" w:hAnsi="Arial" w:cs="Arial"/>
                <w:snapToGrid w:val="0"/>
                <w:sz w:val="18"/>
                <w:szCs w:val="18"/>
              </w:rPr>
            </w:pPr>
            <w:r>
              <w:rPr>
                <w:rFonts w:ascii="Arial" w:hAnsi="Arial" w:cs="Arial"/>
                <w:snapToGrid w:val="0"/>
                <w:sz w:val="18"/>
                <w:szCs w:val="18"/>
              </w:rPr>
              <w:t>Households sector</w:t>
            </w:r>
          </w:p>
        </w:tc>
        <w:tc>
          <w:tcPr>
            <w:tcW w:w="1228" w:type="pct"/>
            <w:tcBorders>
              <w:left w:val="single" w:sz="4" w:space="0" w:color="auto"/>
              <w:bottom w:val="nil"/>
              <w:right w:val="nil"/>
            </w:tcBorders>
            <w:vAlign w:val="center"/>
          </w:tcPr>
          <w:p w:rsidR="007F33D9" w:rsidRPr="00581204" w:rsidRDefault="007F33D9" w:rsidP="00E84C77">
            <w:pPr>
              <w:bidi w:val="0"/>
              <w:ind w:right="267"/>
              <w:jc w:val="right"/>
              <w:rPr>
                <w:rFonts w:ascii="Arial" w:hAnsi="Arial" w:cs="Arial"/>
                <w:color w:val="000000"/>
                <w:sz w:val="18"/>
                <w:szCs w:val="18"/>
              </w:rPr>
            </w:pPr>
            <w:r w:rsidRPr="00581204">
              <w:rPr>
                <w:rFonts w:ascii="Arial" w:hAnsi="Arial" w:cs="Arial"/>
                <w:color w:val="000000"/>
                <w:sz w:val="18"/>
                <w:szCs w:val="18"/>
              </w:rPr>
              <w:t>2,233.5</w:t>
            </w:r>
          </w:p>
        </w:tc>
        <w:tc>
          <w:tcPr>
            <w:tcW w:w="1229" w:type="pct"/>
            <w:tcBorders>
              <w:left w:val="nil"/>
              <w:bottom w:val="nil"/>
              <w:right w:val="single" w:sz="4" w:space="0" w:color="auto"/>
            </w:tcBorders>
            <w:vAlign w:val="center"/>
          </w:tcPr>
          <w:p w:rsidR="007F33D9" w:rsidRPr="00261EE3" w:rsidRDefault="007F33D9" w:rsidP="00E84C77">
            <w:pPr>
              <w:bidi w:val="0"/>
              <w:ind w:right="267"/>
              <w:jc w:val="right"/>
              <w:rPr>
                <w:rFonts w:ascii="Arial" w:hAnsi="Arial" w:cs="Arial"/>
                <w:color w:val="000000"/>
                <w:sz w:val="18"/>
                <w:szCs w:val="18"/>
              </w:rPr>
            </w:pPr>
            <w:r w:rsidRPr="00261EE3">
              <w:rPr>
                <w:rFonts w:ascii="Arial" w:hAnsi="Arial" w:cs="Arial"/>
                <w:color w:val="000000"/>
                <w:sz w:val="18"/>
                <w:szCs w:val="18"/>
              </w:rPr>
              <w:t>2,859.6</w:t>
            </w:r>
          </w:p>
        </w:tc>
      </w:tr>
      <w:tr w:rsidR="007F33D9" w:rsidTr="007F33D9">
        <w:trPr>
          <w:cantSplit/>
          <w:trHeight w:val="340"/>
          <w:jc w:val="center"/>
        </w:trPr>
        <w:tc>
          <w:tcPr>
            <w:tcW w:w="2543" w:type="pct"/>
            <w:tcBorders>
              <w:top w:val="nil"/>
              <w:bottom w:val="nil"/>
              <w:right w:val="single" w:sz="4" w:space="0" w:color="auto"/>
            </w:tcBorders>
            <w:vAlign w:val="center"/>
          </w:tcPr>
          <w:p w:rsidR="007F33D9" w:rsidRDefault="007F33D9" w:rsidP="00461B79">
            <w:pPr>
              <w:bidi w:val="0"/>
              <w:rPr>
                <w:rFonts w:ascii="Arial" w:hAnsi="Arial" w:cs="Arial"/>
                <w:snapToGrid w:val="0"/>
                <w:sz w:val="18"/>
                <w:szCs w:val="18"/>
              </w:rPr>
            </w:pPr>
            <w:r>
              <w:rPr>
                <w:rFonts w:ascii="Arial" w:hAnsi="Arial" w:cs="Arial"/>
                <w:snapToGrid w:val="0"/>
                <w:sz w:val="18"/>
                <w:szCs w:val="18"/>
              </w:rPr>
              <w:t>NPISH sector</w:t>
            </w:r>
          </w:p>
        </w:tc>
        <w:tc>
          <w:tcPr>
            <w:tcW w:w="1228" w:type="pct"/>
            <w:tcBorders>
              <w:top w:val="nil"/>
              <w:left w:val="single" w:sz="4" w:space="0" w:color="auto"/>
              <w:bottom w:val="nil"/>
              <w:right w:val="nil"/>
            </w:tcBorders>
            <w:vAlign w:val="center"/>
          </w:tcPr>
          <w:p w:rsidR="007F33D9" w:rsidRPr="00581204" w:rsidRDefault="007F33D9" w:rsidP="00E84C77">
            <w:pPr>
              <w:bidi w:val="0"/>
              <w:ind w:right="267"/>
              <w:jc w:val="right"/>
              <w:rPr>
                <w:rFonts w:ascii="Arial" w:hAnsi="Arial" w:cs="Arial"/>
                <w:color w:val="000000"/>
                <w:sz w:val="18"/>
                <w:szCs w:val="18"/>
              </w:rPr>
            </w:pPr>
            <w:r w:rsidRPr="00581204">
              <w:rPr>
                <w:rFonts w:ascii="Arial" w:hAnsi="Arial" w:cs="Arial"/>
                <w:color w:val="000000"/>
                <w:sz w:val="18"/>
                <w:szCs w:val="18"/>
              </w:rPr>
              <w:t>403.3</w:t>
            </w:r>
          </w:p>
        </w:tc>
        <w:tc>
          <w:tcPr>
            <w:tcW w:w="1229" w:type="pct"/>
            <w:tcBorders>
              <w:top w:val="nil"/>
              <w:left w:val="nil"/>
              <w:bottom w:val="nil"/>
              <w:right w:val="single" w:sz="4" w:space="0" w:color="auto"/>
            </w:tcBorders>
            <w:vAlign w:val="center"/>
          </w:tcPr>
          <w:p w:rsidR="007F33D9" w:rsidRPr="00261EE3" w:rsidRDefault="007F33D9" w:rsidP="00E84C77">
            <w:pPr>
              <w:bidi w:val="0"/>
              <w:ind w:right="267"/>
              <w:jc w:val="right"/>
              <w:rPr>
                <w:rFonts w:ascii="Arial" w:hAnsi="Arial" w:cs="Arial"/>
                <w:color w:val="000000"/>
                <w:sz w:val="18"/>
                <w:szCs w:val="18"/>
              </w:rPr>
            </w:pPr>
            <w:r w:rsidRPr="00261EE3">
              <w:rPr>
                <w:rFonts w:ascii="Arial" w:hAnsi="Arial" w:cs="Arial"/>
                <w:color w:val="000000"/>
                <w:sz w:val="18"/>
                <w:szCs w:val="18"/>
              </w:rPr>
              <w:t>457.7</w:t>
            </w:r>
          </w:p>
        </w:tc>
      </w:tr>
      <w:tr w:rsidR="007F33D9" w:rsidTr="007F33D9">
        <w:trPr>
          <w:cantSplit/>
          <w:trHeight w:val="340"/>
          <w:jc w:val="center"/>
        </w:trPr>
        <w:tc>
          <w:tcPr>
            <w:tcW w:w="2543" w:type="pct"/>
            <w:tcBorders>
              <w:top w:val="nil"/>
              <w:bottom w:val="nil"/>
              <w:right w:val="single" w:sz="4" w:space="0" w:color="auto"/>
            </w:tcBorders>
            <w:vAlign w:val="center"/>
          </w:tcPr>
          <w:p w:rsidR="007F33D9" w:rsidRDefault="007F33D9" w:rsidP="00461B79">
            <w:pPr>
              <w:bidi w:val="0"/>
              <w:rPr>
                <w:rFonts w:ascii="Arial" w:hAnsi="Arial" w:cs="Arial"/>
                <w:snapToGrid w:val="0"/>
                <w:sz w:val="18"/>
                <w:szCs w:val="18"/>
              </w:rPr>
            </w:pPr>
            <w:r>
              <w:rPr>
                <w:rFonts w:ascii="Arial" w:hAnsi="Arial" w:cs="Arial"/>
                <w:snapToGrid w:val="0"/>
                <w:sz w:val="18"/>
                <w:szCs w:val="18"/>
              </w:rPr>
              <w:t>Government sector</w:t>
            </w:r>
          </w:p>
        </w:tc>
        <w:tc>
          <w:tcPr>
            <w:tcW w:w="1228" w:type="pct"/>
            <w:tcBorders>
              <w:top w:val="nil"/>
              <w:left w:val="single" w:sz="4" w:space="0" w:color="auto"/>
              <w:bottom w:val="nil"/>
              <w:right w:val="nil"/>
            </w:tcBorders>
            <w:vAlign w:val="center"/>
          </w:tcPr>
          <w:p w:rsidR="007F33D9" w:rsidRPr="00581204" w:rsidRDefault="007F33D9" w:rsidP="00E84C77">
            <w:pPr>
              <w:bidi w:val="0"/>
              <w:ind w:right="267"/>
              <w:jc w:val="right"/>
              <w:rPr>
                <w:rFonts w:ascii="Arial" w:hAnsi="Arial" w:cs="Arial"/>
                <w:color w:val="000000"/>
                <w:sz w:val="18"/>
                <w:szCs w:val="18"/>
              </w:rPr>
            </w:pPr>
            <w:r w:rsidRPr="00581204">
              <w:rPr>
                <w:rFonts w:ascii="Arial" w:hAnsi="Arial" w:cs="Arial"/>
                <w:color w:val="000000"/>
                <w:sz w:val="18"/>
                <w:szCs w:val="18"/>
              </w:rPr>
              <w:t>1,464.6</w:t>
            </w:r>
          </w:p>
        </w:tc>
        <w:tc>
          <w:tcPr>
            <w:tcW w:w="1229" w:type="pct"/>
            <w:tcBorders>
              <w:top w:val="nil"/>
              <w:left w:val="nil"/>
              <w:bottom w:val="nil"/>
              <w:right w:val="single" w:sz="4" w:space="0" w:color="auto"/>
            </w:tcBorders>
            <w:vAlign w:val="center"/>
          </w:tcPr>
          <w:p w:rsidR="007F33D9" w:rsidRPr="00261EE3" w:rsidRDefault="007F33D9" w:rsidP="00E84C77">
            <w:pPr>
              <w:bidi w:val="0"/>
              <w:ind w:right="267"/>
              <w:jc w:val="right"/>
              <w:rPr>
                <w:rFonts w:ascii="Arial" w:hAnsi="Arial" w:cs="Arial"/>
                <w:color w:val="000000"/>
                <w:sz w:val="18"/>
                <w:szCs w:val="18"/>
              </w:rPr>
            </w:pPr>
            <w:r w:rsidRPr="00261EE3">
              <w:rPr>
                <w:rFonts w:ascii="Arial" w:hAnsi="Arial" w:cs="Arial"/>
                <w:color w:val="000000"/>
                <w:sz w:val="18"/>
                <w:szCs w:val="18"/>
              </w:rPr>
              <w:t>1,832.6</w:t>
            </w:r>
          </w:p>
        </w:tc>
      </w:tr>
      <w:tr w:rsidR="007F33D9" w:rsidTr="007F33D9">
        <w:trPr>
          <w:cantSplit/>
          <w:trHeight w:val="340"/>
          <w:jc w:val="center"/>
        </w:trPr>
        <w:tc>
          <w:tcPr>
            <w:tcW w:w="2543" w:type="pct"/>
            <w:tcBorders>
              <w:top w:val="nil"/>
              <w:bottom w:val="nil"/>
              <w:right w:val="single" w:sz="4" w:space="0" w:color="auto"/>
            </w:tcBorders>
            <w:vAlign w:val="center"/>
          </w:tcPr>
          <w:p w:rsidR="007F33D9" w:rsidRDefault="007F33D9" w:rsidP="00461B79">
            <w:pPr>
              <w:bidi w:val="0"/>
              <w:rPr>
                <w:rFonts w:ascii="Arial" w:hAnsi="Arial" w:cs="Arial"/>
                <w:snapToGrid w:val="0"/>
                <w:sz w:val="18"/>
                <w:szCs w:val="18"/>
              </w:rPr>
            </w:pPr>
            <w:r>
              <w:rPr>
                <w:rFonts w:ascii="Arial" w:hAnsi="Arial" w:cs="Arial"/>
                <w:snapToGrid w:val="0"/>
                <w:sz w:val="18"/>
                <w:szCs w:val="18"/>
              </w:rPr>
              <w:t>Financial enterprises sector</w:t>
            </w:r>
          </w:p>
        </w:tc>
        <w:tc>
          <w:tcPr>
            <w:tcW w:w="1228" w:type="pct"/>
            <w:tcBorders>
              <w:top w:val="nil"/>
              <w:left w:val="single" w:sz="4" w:space="0" w:color="auto"/>
              <w:bottom w:val="nil"/>
              <w:right w:val="nil"/>
            </w:tcBorders>
            <w:vAlign w:val="center"/>
          </w:tcPr>
          <w:p w:rsidR="007F33D9" w:rsidRPr="00581204" w:rsidRDefault="007F33D9" w:rsidP="00E84C77">
            <w:pPr>
              <w:bidi w:val="0"/>
              <w:ind w:right="267"/>
              <w:jc w:val="right"/>
              <w:rPr>
                <w:rFonts w:ascii="Arial" w:hAnsi="Arial" w:cs="Arial"/>
                <w:color w:val="000000"/>
                <w:sz w:val="18"/>
                <w:szCs w:val="18"/>
              </w:rPr>
            </w:pPr>
            <w:r w:rsidRPr="00581204">
              <w:rPr>
                <w:rFonts w:ascii="Arial" w:hAnsi="Arial" w:cs="Arial"/>
                <w:color w:val="000000"/>
                <w:sz w:val="18"/>
                <w:szCs w:val="18"/>
              </w:rPr>
              <w:t>306.9</w:t>
            </w:r>
          </w:p>
        </w:tc>
        <w:tc>
          <w:tcPr>
            <w:tcW w:w="1229" w:type="pct"/>
            <w:tcBorders>
              <w:top w:val="nil"/>
              <w:left w:val="nil"/>
              <w:bottom w:val="nil"/>
              <w:right w:val="single" w:sz="4" w:space="0" w:color="auto"/>
            </w:tcBorders>
            <w:vAlign w:val="center"/>
          </w:tcPr>
          <w:p w:rsidR="007F33D9" w:rsidRPr="00261EE3" w:rsidRDefault="007F33D9" w:rsidP="00E84C77">
            <w:pPr>
              <w:bidi w:val="0"/>
              <w:ind w:right="267"/>
              <w:jc w:val="right"/>
              <w:rPr>
                <w:rFonts w:ascii="Arial" w:hAnsi="Arial" w:cs="Arial"/>
                <w:color w:val="000000"/>
                <w:sz w:val="18"/>
                <w:szCs w:val="18"/>
              </w:rPr>
            </w:pPr>
            <w:r w:rsidRPr="00261EE3">
              <w:rPr>
                <w:rFonts w:ascii="Arial" w:hAnsi="Arial" w:cs="Arial"/>
                <w:color w:val="000000"/>
                <w:sz w:val="18"/>
                <w:szCs w:val="18"/>
              </w:rPr>
              <w:t>357.1</w:t>
            </w:r>
          </w:p>
        </w:tc>
      </w:tr>
      <w:tr w:rsidR="007F33D9" w:rsidTr="007F33D9">
        <w:trPr>
          <w:cantSplit/>
          <w:trHeight w:val="340"/>
          <w:jc w:val="center"/>
        </w:trPr>
        <w:tc>
          <w:tcPr>
            <w:tcW w:w="2543" w:type="pct"/>
            <w:tcBorders>
              <w:top w:val="nil"/>
              <w:bottom w:val="single" w:sz="4" w:space="0" w:color="auto"/>
              <w:right w:val="single" w:sz="4" w:space="0" w:color="auto"/>
            </w:tcBorders>
            <w:vAlign w:val="center"/>
          </w:tcPr>
          <w:p w:rsidR="007F33D9" w:rsidRDefault="007F33D9" w:rsidP="00461B79">
            <w:pPr>
              <w:bidi w:val="0"/>
              <w:rPr>
                <w:rFonts w:ascii="Arial" w:hAnsi="Arial" w:cs="Arial"/>
                <w:snapToGrid w:val="0"/>
                <w:sz w:val="18"/>
                <w:szCs w:val="18"/>
              </w:rPr>
            </w:pPr>
            <w:r>
              <w:rPr>
                <w:rFonts w:ascii="Arial" w:hAnsi="Arial" w:cs="Arial"/>
                <w:snapToGrid w:val="0"/>
                <w:sz w:val="18"/>
                <w:szCs w:val="18"/>
              </w:rPr>
              <w:t>Non- Financial enterprises sector</w:t>
            </w:r>
          </w:p>
        </w:tc>
        <w:tc>
          <w:tcPr>
            <w:tcW w:w="1228" w:type="pct"/>
            <w:tcBorders>
              <w:top w:val="nil"/>
              <w:left w:val="single" w:sz="4" w:space="0" w:color="auto"/>
              <w:bottom w:val="single" w:sz="4" w:space="0" w:color="auto"/>
              <w:right w:val="nil"/>
            </w:tcBorders>
            <w:vAlign w:val="center"/>
          </w:tcPr>
          <w:p w:rsidR="007F33D9" w:rsidRPr="00581204" w:rsidRDefault="007F33D9" w:rsidP="00E84C77">
            <w:pPr>
              <w:bidi w:val="0"/>
              <w:ind w:right="267"/>
              <w:jc w:val="right"/>
              <w:rPr>
                <w:rFonts w:ascii="Arial" w:hAnsi="Arial" w:cs="Arial"/>
                <w:color w:val="000000"/>
                <w:sz w:val="18"/>
                <w:szCs w:val="18"/>
              </w:rPr>
            </w:pPr>
            <w:r w:rsidRPr="00581204">
              <w:rPr>
                <w:rFonts w:ascii="Arial" w:hAnsi="Arial" w:cs="Arial"/>
                <w:color w:val="000000"/>
                <w:sz w:val="18"/>
                <w:szCs w:val="18"/>
              </w:rPr>
              <w:t>2,311.3</w:t>
            </w:r>
          </w:p>
        </w:tc>
        <w:tc>
          <w:tcPr>
            <w:tcW w:w="1229" w:type="pct"/>
            <w:tcBorders>
              <w:top w:val="nil"/>
              <w:left w:val="nil"/>
              <w:bottom w:val="single" w:sz="4" w:space="0" w:color="auto"/>
              <w:right w:val="single" w:sz="4" w:space="0" w:color="auto"/>
            </w:tcBorders>
            <w:vAlign w:val="center"/>
          </w:tcPr>
          <w:p w:rsidR="007F33D9" w:rsidRPr="00261EE3" w:rsidRDefault="007F33D9" w:rsidP="00E84C77">
            <w:pPr>
              <w:bidi w:val="0"/>
              <w:ind w:right="267"/>
              <w:jc w:val="right"/>
              <w:rPr>
                <w:rFonts w:ascii="Arial" w:hAnsi="Arial" w:cs="Arial"/>
                <w:color w:val="000000"/>
                <w:sz w:val="18"/>
                <w:szCs w:val="18"/>
              </w:rPr>
            </w:pPr>
            <w:r w:rsidRPr="00261EE3">
              <w:rPr>
                <w:rFonts w:ascii="Arial" w:hAnsi="Arial" w:cs="Arial"/>
                <w:color w:val="000000"/>
                <w:sz w:val="18"/>
                <w:szCs w:val="18"/>
              </w:rPr>
              <w:t>2,823.6</w:t>
            </w:r>
          </w:p>
        </w:tc>
      </w:tr>
    </w:tbl>
    <w:p w:rsidR="00461B79" w:rsidRPr="00461B79" w:rsidRDefault="00461B79" w:rsidP="00DD6826">
      <w:pPr>
        <w:bidi w:val="0"/>
        <w:rPr>
          <w:lang w:val="fr-FR"/>
        </w:rPr>
      </w:pPr>
      <w:r>
        <w:rPr>
          <w:rFonts w:ascii="Arial" w:hAnsi="Arial" w:cs="Arial"/>
          <w:sz w:val="18"/>
          <w:szCs w:val="18"/>
        </w:rPr>
        <w:t xml:space="preserve"> Includes </w:t>
      </w:r>
      <w:proofErr w:type="gramStart"/>
      <w:r>
        <w:rPr>
          <w:rFonts w:ascii="Arial" w:hAnsi="Arial" w:cs="Arial"/>
          <w:sz w:val="18"/>
          <w:szCs w:val="18"/>
        </w:rPr>
        <w:t xml:space="preserve">adjustment </w:t>
      </w:r>
      <w:r w:rsidR="00CE2506">
        <w:rPr>
          <w:rFonts w:ascii="Arial" w:hAnsi="Arial" w:cs="Arial"/>
          <w:sz w:val="18"/>
          <w:szCs w:val="18"/>
        </w:rPr>
        <w:t xml:space="preserve"> </w:t>
      </w:r>
      <w:r>
        <w:rPr>
          <w:rFonts w:ascii="Arial" w:hAnsi="Arial" w:cs="Arial"/>
          <w:sz w:val="18"/>
          <w:szCs w:val="18"/>
        </w:rPr>
        <w:t>items</w:t>
      </w:r>
      <w:proofErr w:type="gramEnd"/>
      <w:r>
        <w:rPr>
          <w:rFonts w:ascii="Arial" w:hAnsi="Arial" w:cs="Arial"/>
          <w:sz w:val="18"/>
          <w:szCs w:val="18"/>
        </w:rPr>
        <w:t xml:space="preserve"> (</w:t>
      </w:r>
      <w:r>
        <w:rPr>
          <w:rFonts w:ascii="Arial" w:hAnsi="Arial" w:cs="Arial"/>
          <w:snapToGrid w:val="0"/>
          <w:color w:val="000000"/>
          <w:sz w:val="18"/>
          <w:szCs w:val="18"/>
        </w:rPr>
        <w:t xml:space="preserve">FISIM, Customs duties, </w:t>
      </w:r>
      <w:r>
        <w:rPr>
          <w:rFonts w:ascii="Arial" w:hAnsi="Arial" w:cs="Arial"/>
          <w:snapToGrid w:val="0"/>
          <w:color w:val="000000"/>
          <w:sz w:val="18"/>
          <w:szCs w:val="18"/>
          <w:lang w:val="fr-FR"/>
        </w:rPr>
        <w:t>VAT on imports, net).</w:t>
      </w:r>
    </w:p>
    <w:p w:rsidR="009B22B0" w:rsidRDefault="009B22B0" w:rsidP="00461B79">
      <w:pPr>
        <w:bidi w:val="0"/>
        <w:jc w:val="center"/>
      </w:pPr>
    </w:p>
    <w:p w:rsidR="009B22B0" w:rsidRDefault="009B22B0" w:rsidP="00461B79">
      <w:pPr>
        <w:bidi w:val="0"/>
        <w:jc w:val="center"/>
      </w:pPr>
    </w:p>
    <w:p w:rsidR="00DD6826" w:rsidRDefault="00DD6826" w:rsidP="00DD6826">
      <w:pPr>
        <w:bidi w:val="0"/>
        <w:jc w:val="center"/>
      </w:pPr>
    </w:p>
    <w:p w:rsidR="00DD6826" w:rsidRDefault="00DD6826" w:rsidP="00DD6826">
      <w:pPr>
        <w:bidi w:val="0"/>
        <w:jc w:val="center"/>
      </w:pPr>
    </w:p>
    <w:p w:rsidR="00DB1D0D" w:rsidRDefault="00DB1D0D" w:rsidP="00DD6826">
      <w:pPr>
        <w:bidi w:val="0"/>
        <w:jc w:val="center"/>
      </w:pPr>
    </w:p>
    <w:p w:rsidR="00DB1D0D" w:rsidRDefault="00DB1D0D" w:rsidP="00DB1D0D">
      <w:pPr>
        <w:bidi w:val="0"/>
        <w:jc w:val="center"/>
      </w:pPr>
    </w:p>
    <w:p w:rsidR="00DB1D0D" w:rsidRDefault="00DB1D0D" w:rsidP="00DB1D0D">
      <w:pPr>
        <w:bidi w:val="0"/>
        <w:jc w:val="center"/>
      </w:pPr>
    </w:p>
    <w:p w:rsidR="00DB1D0D" w:rsidRDefault="00DB1D0D" w:rsidP="00DB1D0D">
      <w:pPr>
        <w:bidi w:val="0"/>
        <w:jc w:val="center"/>
      </w:pPr>
    </w:p>
    <w:p w:rsidR="00E84C77" w:rsidRDefault="00E84C77">
      <w:pPr>
        <w:bidi w:val="0"/>
      </w:pPr>
      <w:r>
        <w:br w:type="page"/>
      </w:r>
    </w:p>
    <w:p w:rsidR="009B22B0" w:rsidRDefault="009B22B0" w:rsidP="00DB1D0D">
      <w:pPr>
        <w:bidi w:val="0"/>
        <w:jc w:val="center"/>
        <w:rPr>
          <w:rtl/>
          <w:lang w:val="en-GB"/>
        </w:rPr>
      </w:pPr>
      <w:r>
        <w:lastRenderedPageBreak/>
        <w:t>Chapter T</w:t>
      </w:r>
      <w:r w:rsidR="00DD6826">
        <w:t>wo</w:t>
      </w:r>
    </w:p>
    <w:p w:rsidR="009B22B0" w:rsidRDefault="009B22B0" w:rsidP="00461B79">
      <w:pPr>
        <w:bidi w:val="0"/>
        <w:jc w:val="center"/>
        <w:rPr>
          <w:sz w:val="22"/>
        </w:rPr>
      </w:pPr>
    </w:p>
    <w:p w:rsidR="00461B79" w:rsidRDefault="00461B79" w:rsidP="00CE0F34">
      <w:pPr>
        <w:pStyle w:val="Heading2"/>
      </w:pPr>
      <w:r>
        <w:t>Methodology and Data Quality</w:t>
      </w:r>
    </w:p>
    <w:p w:rsidR="00461B79" w:rsidRDefault="00461B79" w:rsidP="00461B79">
      <w:pPr>
        <w:pStyle w:val="Header"/>
        <w:tabs>
          <w:tab w:val="clear" w:pos="4153"/>
          <w:tab w:val="clear" w:pos="8306"/>
        </w:tabs>
        <w:bidi w:val="0"/>
        <w:rPr>
          <w:rFonts w:cs="Times New Roman"/>
          <w:noProof w:val="0"/>
          <w:lang w:eastAsia="ar-SA"/>
        </w:rPr>
      </w:pPr>
    </w:p>
    <w:p w:rsidR="00461B79" w:rsidRDefault="00461B79" w:rsidP="00CE2506">
      <w:pPr>
        <w:bidi w:val="0"/>
        <w:jc w:val="lowKashida"/>
        <w:rPr>
          <w:lang w:eastAsia="en-US"/>
        </w:rPr>
      </w:pPr>
      <w:r>
        <w:rPr>
          <w:lang w:eastAsia="en-US"/>
        </w:rPr>
        <w:t xml:space="preserve">This Chapter </w:t>
      </w:r>
      <w:proofErr w:type="gramStart"/>
      <w:r>
        <w:rPr>
          <w:lang w:eastAsia="en-US"/>
        </w:rPr>
        <w:t>present</w:t>
      </w:r>
      <w:r w:rsidR="00811D78">
        <w:rPr>
          <w:lang w:eastAsia="en-US"/>
        </w:rPr>
        <w:t>s</w:t>
      </w:r>
      <w:r>
        <w:rPr>
          <w:lang w:eastAsia="en-US"/>
        </w:rPr>
        <w:t xml:space="preserve">  adopted</w:t>
      </w:r>
      <w:proofErr w:type="gramEnd"/>
      <w:r>
        <w:rPr>
          <w:lang w:eastAsia="en-US"/>
        </w:rPr>
        <w:t xml:space="preserve"> methodologies for  compil</w:t>
      </w:r>
      <w:r w:rsidR="00811D78">
        <w:rPr>
          <w:lang w:eastAsia="en-US"/>
        </w:rPr>
        <w:t xml:space="preserve">ing </w:t>
      </w:r>
      <w:r>
        <w:rPr>
          <w:lang w:eastAsia="en-US"/>
        </w:rPr>
        <w:t xml:space="preserve">  National Accounts at current and constant prices based on  available price deflators. In addition, </w:t>
      </w:r>
      <w:proofErr w:type="gramStart"/>
      <w:r w:rsidR="00CE2506">
        <w:rPr>
          <w:lang w:eastAsia="en-US"/>
        </w:rPr>
        <w:t>to</w:t>
      </w:r>
      <w:r>
        <w:rPr>
          <w:lang w:eastAsia="en-US"/>
        </w:rPr>
        <w:t xml:space="preserve">  methodologies</w:t>
      </w:r>
      <w:proofErr w:type="gramEnd"/>
      <w:r>
        <w:rPr>
          <w:lang w:eastAsia="en-US"/>
        </w:rPr>
        <w:t xml:space="preserve"> for compiling  Institutional National Accounts at </w:t>
      </w:r>
      <w:r w:rsidR="00CE2506">
        <w:rPr>
          <w:lang w:eastAsia="en-US"/>
        </w:rPr>
        <w:t xml:space="preserve">current </w:t>
      </w:r>
      <w:r>
        <w:rPr>
          <w:lang w:eastAsia="en-US"/>
        </w:rPr>
        <w:t>prices.</w:t>
      </w:r>
    </w:p>
    <w:p w:rsidR="00650DD6" w:rsidRDefault="00650DD6" w:rsidP="00650DD6">
      <w:pPr>
        <w:bidi w:val="0"/>
        <w:rPr>
          <w:b/>
          <w:bCs/>
        </w:rPr>
      </w:pPr>
    </w:p>
    <w:p w:rsidR="00461B79" w:rsidRDefault="00650DD6" w:rsidP="00CE2506">
      <w:pPr>
        <w:bidi w:val="0"/>
        <w:rPr>
          <w:b/>
          <w:bCs/>
        </w:rPr>
      </w:pPr>
      <w:r>
        <w:rPr>
          <w:b/>
          <w:bCs/>
        </w:rPr>
        <w:t xml:space="preserve">2.1 </w:t>
      </w:r>
      <w:r w:rsidR="00461B79">
        <w:rPr>
          <w:b/>
          <w:bCs/>
        </w:rPr>
        <w:t>Basic National Accounts</w:t>
      </w:r>
    </w:p>
    <w:p w:rsidR="00461B79" w:rsidRDefault="00461B79" w:rsidP="00461B79">
      <w:pPr>
        <w:bidi w:val="0"/>
        <w:rPr>
          <w:sz w:val="20"/>
          <w:szCs w:val="20"/>
          <w:lang w:eastAsia="en-US"/>
        </w:rPr>
      </w:pPr>
    </w:p>
    <w:p w:rsidR="00461B79" w:rsidRDefault="0097260F" w:rsidP="00CE2506">
      <w:pPr>
        <w:bidi w:val="0"/>
        <w:jc w:val="lowKashida"/>
        <w:rPr>
          <w:b/>
          <w:bCs/>
          <w:lang w:val="en-GB"/>
        </w:rPr>
      </w:pPr>
      <w:r>
        <w:rPr>
          <w:b/>
          <w:bCs/>
          <w:lang w:val="en-GB"/>
        </w:rPr>
        <w:t>2</w:t>
      </w:r>
      <w:r w:rsidR="00461B79">
        <w:rPr>
          <w:b/>
          <w:bCs/>
          <w:lang w:val="en-GB"/>
        </w:rPr>
        <w:t>.1</w:t>
      </w:r>
      <w:r w:rsidR="00650DD6">
        <w:rPr>
          <w:b/>
          <w:bCs/>
          <w:lang w:val="en-GB"/>
        </w:rPr>
        <w:t>.1</w:t>
      </w:r>
      <w:r w:rsidR="00461B79">
        <w:rPr>
          <w:b/>
          <w:bCs/>
          <w:lang w:val="en-GB"/>
        </w:rPr>
        <w:t xml:space="preserve"> National </w:t>
      </w:r>
      <w:r w:rsidR="00461B79">
        <w:rPr>
          <w:b/>
          <w:bCs/>
        </w:rPr>
        <w:t>Accounts</w:t>
      </w:r>
      <w:r w:rsidR="00461B79">
        <w:rPr>
          <w:b/>
          <w:bCs/>
          <w:lang w:val="en-GB"/>
        </w:rPr>
        <w:t xml:space="preserve"> at Current Prices</w:t>
      </w:r>
    </w:p>
    <w:p w:rsidR="00461B79" w:rsidRDefault="00461B79" w:rsidP="00461B79">
      <w:pPr>
        <w:bidi w:val="0"/>
        <w:rPr>
          <w:sz w:val="20"/>
          <w:szCs w:val="20"/>
          <w:lang w:eastAsia="en-US"/>
        </w:rPr>
      </w:pPr>
    </w:p>
    <w:p w:rsidR="00461B79" w:rsidRDefault="00461B79" w:rsidP="00461B79">
      <w:pPr>
        <w:bidi w:val="0"/>
        <w:rPr>
          <w:b/>
          <w:bCs/>
        </w:rPr>
      </w:pPr>
      <w:r>
        <w:rPr>
          <w:b/>
          <w:bCs/>
        </w:rPr>
        <w:t>The main basis for revision process</w:t>
      </w:r>
    </w:p>
    <w:p w:rsidR="00461B79" w:rsidRDefault="00461B79" w:rsidP="00CE2506">
      <w:pPr>
        <w:bidi w:val="0"/>
        <w:jc w:val="lowKashida"/>
      </w:pPr>
      <w:r>
        <w:t xml:space="preserve">The process of preparing this report was based on many phases which were necessary to have a high coverage </w:t>
      </w:r>
      <w:proofErr w:type="gramStart"/>
      <w:r>
        <w:t>for  National</w:t>
      </w:r>
      <w:proofErr w:type="gramEnd"/>
      <w:r>
        <w:t xml:space="preserve"> Accounts for the period </w:t>
      </w:r>
      <w:r w:rsidR="003B186D">
        <w:t xml:space="preserve">between </w:t>
      </w:r>
      <w:r w:rsidR="00CE2506">
        <w:t>2009</w:t>
      </w:r>
      <w:r w:rsidR="003B186D">
        <w:t xml:space="preserve"> -</w:t>
      </w:r>
      <w:r w:rsidR="0007072F">
        <w:t>2010</w:t>
      </w:r>
      <w:r w:rsidR="00CE2506">
        <w:t xml:space="preserve"> </w:t>
      </w:r>
      <w:r>
        <w:t>based on the following considerations:</w:t>
      </w:r>
    </w:p>
    <w:p w:rsidR="00461B79" w:rsidRDefault="00461B79" w:rsidP="00461B79">
      <w:pPr>
        <w:numPr>
          <w:ilvl w:val="0"/>
          <w:numId w:val="6"/>
        </w:numPr>
        <w:tabs>
          <w:tab w:val="clear" w:pos="720"/>
          <w:tab w:val="num" w:pos="540"/>
        </w:tabs>
        <w:bidi w:val="0"/>
        <w:ind w:left="540" w:right="0"/>
        <w:jc w:val="lowKashida"/>
      </w:pPr>
      <w:r>
        <w:t xml:space="preserve">The Dependency </w:t>
      </w:r>
      <w:proofErr w:type="gramStart"/>
      <w:r>
        <w:t>on  latest</w:t>
      </w:r>
      <w:proofErr w:type="gramEnd"/>
      <w:r>
        <w:t xml:space="preserve"> administrativ</w:t>
      </w:r>
      <w:r w:rsidR="00CE2506">
        <w:t xml:space="preserve">e records available from mainly </w:t>
      </w:r>
      <w:r w:rsidR="003B186D">
        <w:t>the Government</w:t>
      </w:r>
      <w:r>
        <w:t xml:space="preserve"> and UNRWA.</w:t>
      </w:r>
    </w:p>
    <w:p w:rsidR="00461B79" w:rsidRDefault="00461B79" w:rsidP="00461B79">
      <w:pPr>
        <w:numPr>
          <w:ilvl w:val="0"/>
          <w:numId w:val="6"/>
        </w:numPr>
        <w:tabs>
          <w:tab w:val="clear" w:pos="720"/>
          <w:tab w:val="num" w:pos="540"/>
        </w:tabs>
        <w:bidi w:val="0"/>
        <w:ind w:left="540" w:right="0"/>
        <w:jc w:val="lowKashida"/>
      </w:pPr>
      <w:r>
        <w:t xml:space="preserve">Unifying methodologies from the various data sources based on the latest one, such as the methodologies for estimating government production, imputed rent and gross capital formation. The use of latest methodologies contributes </w:t>
      </w:r>
      <w:proofErr w:type="gramStart"/>
      <w:r>
        <w:t>to  improv</w:t>
      </w:r>
      <w:r w:rsidR="003B186D">
        <w:t>ing</w:t>
      </w:r>
      <w:proofErr w:type="gramEnd"/>
      <w:r w:rsidR="003B186D">
        <w:t xml:space="preserve"> </w:t>
      </w:r>
      <w:r>
        <w:t xml:space="preserve">  data quality.</w:t>
      </w:r>
    </w:p>
    <w:p w:rsidR="00461B79" w:rsidRDefault="00461B79" w:rsidP="00461B79">
      <w:pPr>
        <w:numPr>
          <w:ilvl w:val="0"/>
          <w:numId w:val="6"/>
        </w:numPr>
        <w:tabs>
          <w:tab w:val="clear" w:pos="720"/>
          <w:tab w:val="num" w:pos="540"/>
        </w:tabs>
        <w:bidi w:val="0"/>
        <w:ind w:left="540" w:right="0"/>
        <w:jc w:val="lowKashida"/>
      </w:pPr>
      <w:proofErr w:type="gramStart"/>
      <w:r>
        <w:t>Improving  consistency</w:t>
      </w:r>
      <w:proofErr w:type="gramEnd"/>
      <w:r>
        <w:t xml:space="preserve"> of  data by checking the framework of  data, such as checking </w:t>
      </w:r>
      <w:r w:rsidR="003B186D">
        <w:t xml:space="preserve">a </w:t>
      </w:r>
      <w:r>
        <w:t xml:space="preserve"> proportion of inputs to outputs, value added per employee, in addition to the logic of  growth rates for</w:t>
      </w:r>
      <w:r w:rsidR="003B186D">
        <w:t xml:space="preserve"> both of</w:t>
      </w:r>
      <w:r>
        <w:t xml:space="preserve"> the output and value added, in addition to regional distribution </w:t>
      </w:r>
      <w:r w:rsidR="003B186D">
        <w:t xml:space="preserve">of </w:t>
      </w:r>
      <w:r>
        <w:t xml:space="preserve"> data.</w:t>
      </w:r>
    </w:p>
    <w:p w:rsidR="00461B79" w:rsidRDefault="00461B79" w:rsidP="00461B79">
      <w:pPr>
        <w:numPr>
          <w:ilvl w:val="0"/>
          <w:numId w:val="6"/>
        </w:numPr>
        <w:tabs>
          <w:tab w:val="clear" w:pos="720"/>
          <w:tab w:val="num" w:pos="540"/>
        </w:tabs>
        <w:bidi w:val="0"/>
        <w:ind w:left="540" w:right="0"/>
        <w:jc w:val="lowKashida"/>
      </w:pPr>
      <w:proofErr w:type="gramStart"/>
      <w:r>
        <w:t>Balancing  GDP</w:t>
      </w:r>
      <w:proofErr w:type="gramEnd"/>
      <w:r>
        <w:t xml:space="preserve"> from both </w:t>
      </w:r>
      <w:r w:rsidR="003B186D">
        <w:t xml:space="preserve">of </w:t>
      </w:r>
      <w:r>
        <w:t>the production and expenditure sides at current prices.</w:t>
      </w:r>
    </w:p>
    <w:p w:rsidR="00461B79" w:rsidRDefault="00461B79" w:rsidP="00CE0F34">
      <w:pPr>
        <w:numPr>
          <w:ilvl w:val="0"/>
          <w:numId w:val="6"/>
        </w:numPr>
        <w:tabs>
          <w:tab w:val="clear" w:pos="720"/>
          <w:tab w:val="num" w:pos="540"/>
        </w:tabs>
        <w:bidi w:val="0"/>
        <w:ind w:left="540" w:right="0"/>
        <w:jc w:val="lowKashida"/>
      </w:pPr>
      <w:r>
        <w:t>Verif</w:t>
      </w:r>
      <w:r w:rsidR="003B186D">
        <w:t xml:space="preserve">ying </w:t>
      </w:r>
      <w:proofErr w:type="gramStart"/>
      <w:r>
        <w:t>of  data</w:t>
      </w:r>
      <w:proofErr w:type="gramEnd"/>
      <w:r>
        <w:t xml:space="preserve"> at current </w:t>
      </w:r>
      <w:r w:rsidRPr="00CE0F34">
        <w:t xml:space="preserve">prices </w:t>
      </w:r>
      <w:r w:rsidR="00200DB3" w:rsidRPr="00CE0F34">
        <w:t xml:space="preserve">after compiling those </w:t>
      </w:r>
      <w:r w:rsidR="00CE0F34" w:rsidRPr="00CE0F34">
        <w:t>at constant</w:t>
      </w:r>
      <w:r>
        <w:t xml:space="preserve"> prices based on the general overview about the performance of the economy.</w:t>
      </w:r>
    </w:p>
    <w:p w:rsidR="00461B79" w:rsidRDefault="00461B79" w:rsidP="00461B79">
      <w:pPr>
        <w:bidi w:val="0"/>
        <w:jc w:val="lowKashida"/>
      </w:pPr>
    </w:p>
    <w:p w:rsidR="00461B79" w:rsidRDefault="0097260F" w:rsidP="00CE2506">
      <w:pPr>
        <w:bidi w:val="0"/>
        <w:rPr>
          <w:b/>
          <w:bCs/>
          <w:lang w:val="en-GB"/>
        </w:rPr>
      </w:pPr>
      <w:r>
        <w:rPr>
          <w:b/>
          <w:bCs/>
          <w:lang w:val="en-GB"/>
        </w:rPr>
        <w:t>2</w:t>
      </w:r>
      <w:r w:rsidR="00650DD6">
        <w:rPr>
          <w:b/>
          <w:bCs/>
          <w:lang w:val="en-GB"/>
        </w:rPr>
        <w:t>.1.</w:t>
      </w:r>
      <w:r w:rsidR="00461B79">
        <w:rPr>
          <w:b/>
          <w:bCs/>
          <w:lang w:val="en-GB"/>
        </w:rPr>
        <w:t xml:space="preserve">2 </w:t>
      </w:r>
      <w:r w:rsidR="00461B79">
        <w:rPr>
          <w:b/>
          <w:bCs/>
        </w:rPr>
        <w:t>National Accounts</w:t>
      </w:r>
      <w:r w:rsidR="00461B79">
        <w:rPr>
          <w:b/>
          <w:bCs/>
          <w:lang w:val="en-GB"/>
        </w:rPr>
        <w:t xml:space="preserve"> at Constant Prices</w:t>
      </w:r>
    </w:p>
    <w:p w:rsidR="00461B79" w:rsidRDefault="00461B79" w:rsidP="00461B79">
      <w:pPr>
        <w:bidi w:val="0"/>
        <w:jc w:val="lowKashida"/>
        <w:rPr>
          <w:lang w:val="en-GB"/>
        </w:rPr>
      </w:pPr>
      <w:r>
        <w:rPr>
          <w:lang w:val="en-GB"/>
        </w:rPr>
        <w:t xml:space="preserve">The methodology for compiling the National Accounts at constant prices </w:t>
      </w:r>
      <w:r w:rsidR="00CE2506">
        <w:rPr>
          <w:lang w:val="en-GB"/>
        </w:rPr>
        <w:t xml:space="preserve">was </w:t>
      </w:r>
      <w:r>
        <w:rPr>
          <w:lang w:val="en-GB"/>
        </w:rPr>
        <w:t xml:space="preserve">based on a set of price indices and deflators. PCBS produces three types of indices (consumer price index, producer and </w:t>
      </w:r>
      <w:r w:rsidR="004C4932">
        <w:rPr>
          <w:lang w:val="en-GB"/>
        </w:rPr>
        <w:t>wholesale</w:t>
      </w:r>
      <w:r>
        <w:rPr>
          <w:lang w:val="en-GB"/>
        </w:rPr>
        <w:t xml:space="preserve"> price index) based on the year 2004 as a base year for the CPI, while the year 1997 is the base year for the producer and </w:t>
      </w:r>
      <w:r w:rsidR="004C4932">
        <w:rPr>
          <w:lang w:val="en-GB"/>
        </w:rPr>
        <w:t>wholesale</w:t>
      </w:r>
      <w:r>
        <w:rPr>
          <w:lang w:val="en-GB"/>
        </w:rPr>
        <w:t xml:space="preserve"> price index.</w:t>
      </w:r>
    </w:p>
    <w:p w:rsidR="00CE2506" w:rsidRDefault="00CE2506" w:rsidP="00461B79">
      <w:pPr>
        <w:bidi w:val="0"/>
        <w:jc w:val="lowKashida"/>
        <w:rPr>
          <w:lang w:val="en-GB"/>
        </w:rPr>
      </w:pPr>
    </w:p>
    <w:p w:rsidR="00461B79" w:rsidRDefault="00461B79" w:rsidP="00CE2506">
      <w:pPr>
        <w:bidi w:val="0"/>
        <w:jc w:val="lowKashida"/>
        <w:rPr>
          <w:lang w:val="en-GB"/>
        </w:rPr>
      </w:pPr>
      <w:r>
        <w:rPr>
          <w:lang w:val="en-GB"/>
        </w:rPr>
        <w:t xml:space="preserve">The process for deflating was two-fold: First </w:t>
      </w:r>
      <w:proofErr w:type="gramStart"/>
      <w:r>
        <w:rPr>
          <w:lang w:val="en-GB"/>
        </w:rPr>
        <w:t xml:space="preserve">step </w:t>
      </w:r>
      <w:r w:rsidR="007218F1">
        <w:rPr>
          <w:lang w:val="en-GB"/>
        </w:rPr>
        <w:t>,</w:t>
      </w:r>
      <w:r>
        <w:rPr>
          <w:lang w:val="en-GB"/>
        </w:rPr>
        <w:t>was</w:t>
      </w:r>
      <w:proofErr w:type="gramEnd"/>
      <w:r>
        <w:rPr>
          <w:lang w:val="en-GB"/>
        </w:rPr>
        <w:t xml:space="preserve"> by compiling the necessary deflators in format and details of the SUT, while in the second step</w:t>
      </w:r>
      <w:r w:rsidR="007218F1">
        <w:rPr>
          <w:lang w:val="en-GB"/>
        </w:rPr>
        <w:t>,</w:t>
      </w:r>
      <w:r>
        <w:rPr>
          <w:lang w:val="en-GB"/>
        </w:rPr>
        <w:t xml:space="preserve"> those deflators were used in order to deflate  various transactions in the SUT.</w:t>
      </w:r>
    </w:p>
    <w:p w:rsidR="00461B79" w:rsidRDefault="00461B79" w:rsidP="00461B79">
      <w:pPr>
        <w:bidi w:val="0"/>
        <w:jc w:val="lowKashida"/>
        <w:rPr>
          <w:lang w:val="en-GB"/>
        </w:rPr>
      </w:pPr>
    </w:p>
    <w:p w:rsidR="00461B79" w:rsidRDefault="00461B79" w:rsidP="00461B79">
      <w:pPr>
        <w:bidi w:val="0"/>
        <w:jc w:val="lowKashida"/>
        <w:rPr>
          <w:lang w:val="en-GB"/>
        </w:rPr>
      </w:pPr>
      <w:r>
        <w:rPr>
          <w:lang w:val="en-GB"/>
        </w:rPr>
        <w:t xml:space="preserve">PCBS adopted </w:t>
      </w:r>
      <w:proofErr w:type="gramStart"/>
      <w:r w:rsidR="007218F1">
        <w:rPr>
          <w:lang w:val="en-GB"/>
        </w:rPr>
        <w:t xml:space="preserve">a </w:t>
      </w:r>
      <w:r>
        <w:rPr>
          <w:lang w:val="en-GB"/>
        </w:rPr>
        <w:t xml:space="preserve"> double</w:t>
      </w:r>
      <w:proofErr w:type="gramEnd"/>
      <w:r>
        <w:rPr>
          <w:lang w:val="en-GB"/>
        </w:rPr>
        <w:t xml:space="preserve"> – deflation method in deflating main transactions by using the following indices:</w:t>
      </w:r>
    </w:p>
    <w:p w:rsidR="00461B79" w:rsidRDefault="00461B79" w:rsidP="00461B79">
      <w:pPr>
        <w:bidi w:val="0"/>
        <w:rPr>
          <w:b/>
          <w:bCs/>
          <w:lang w:val="en-GB"/>
        </w:rPr>
      </w:pPr>
    </w:p>
    <w:p w:rsidR="00461B79" w:rsidRDefault="00461B79" w:rsidP="00461B79">
      <w:pPr>
        <w:bidi w:val="0"/>
        <w:rPr>
          <w:b/>
          <w:bCs/>
          <w:lang w:val="en-GB"/>
        </w:rPr>
      </w:pPr>
    </w:p>
    <w:p w:rsidR="00461B79" w:rsidRDefault="00461B79" w:rsidP="00461B79">
      <w:pPr>
        <w:bidi w:val="0"/>
        <w:rPr>
          <w:b/>
          <w:bCs/>
          <w:lang w:val="en-GB"/>
        </w:rPr>
      </w:pPr>
    </w:p>
    <w:p w:rsidR="00461B79" w:rsidRDefault="00461B79" w:rsidP="00461B79">
      <w:pPr>
        <w:bidi w:val="0"/>
        <w:rPr>
          <w:b/>
          <w:bCs/>
          <w:lang w:val="en-GB"/>
        </w:rPr>
      </w:pPr>
    </w:p>
    <w:p w:rsidR="00461B79" w:rsidRDefault="00461B79" w:rsidP="00461B79">
      <w:pPr>
        <w:bidi w:val="0"/>
        <w:rPr>
          <w:b/>
          <w:bCs/>
          <w:lang w:val="en-GB"/>
        </w:rPr>
      </w:pPr>
    </w:p>
    <w:p w:rsidR="00461B79" w:rsidRDefault="00461B79" w:rsidP="00461B79">
      <w:pPr>
        <w:bidi w:val="0"/>
        <w:rPr>
          <w:b/>
          <w:bCs/>
          <w:lang w:val="en-GB"/>
        </w:rPr>
      </w:pPr>
    </w:p>
    <w:p w:rsidR="00461B79" w:rsidRDefault="00461B79" w:rsidP="00461B79">
      <w:pPr>
        <w:bidi w:val="0"/>
        <w:rPr>
          <w:b/>
          <w:bCs/>
          <w:lang w:val="en-GB"/>
        </w:rPr>
      </w:pPr>
    </w:p>
    <w:p w:rsidR="00461B79" w:rsidRDefault="00461B79" w:rsidP="00461B79">
      <w:pPr>
        <w:bidi w:val="0"/>
        <w:rPr>
          <w:b/>
          <w:bCs/>
          <w:lang w:val="en-GB"/>
        </w:rPr>
      </w:pPr>
    </w:p>
    <w:p w:rsidR="00FF6B5D" w:rsidRDefault="00FF6B5D" w:rsidP="00461B79">
      <w:pPr>
        <w:bidi w:val="0"/>
        <w:rPr>
          <w:b/>
          <w:bCs/>
          <w:lang w:val="en-GB"/>
        </w:rPr>
      </w:pPr>
    </w:p>
    <w:p w:rsidR="00461B79" w:rsidRDefault="00461B79" w:rsidP="00FF6B5D">
      <w:pPr>
        <w:bidi w:val="0"/>
        <w:rPr>
          <w:b/>
          <w:bCs/>
          <w:lang w:val="en-GB"/>
        </w:rPr>
      </w:pPr>
      <w:r>
        <w:rPr>
          <w:b/>
          <w:bCs/>
          <w:lang w:val="en-GB"/>
        </w:rPr>
        <w:lastRenderedPageBreak/>
        <w:t>The following table shows the various indices used to deflate various transactions:</w:t>
      </w:r>
    </w:p>
    <w:p w:rsidR="00461B79" w:rsidRDefault="00461B79" w:rsidP="00461B79">
      <w:pPr>
        <w:bidi w:val="0"/>
        <w:rPr>
          <w:b/>
          <w:bCs/>
          <w:sz w:val="12"/>
          <w:szCs w:val="12"/>
          <w:lang w:val="en-GB"/>
        </w:rPr>
      </w:pPr>
    </w:p>
    <w:tbl>
      <w:tblPr>
        <w:bidiVisual/>
        <w:tblW w:w="8973"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Look w:val="0000"/>
      </w:tblPr>
      <w:tblGrid>
        <w:gridCol w:w="2022"/>
        <w:gridCol w:w="2860"/>
        <w:gridCol w:w="4091"/>
      </w:tblGrid>
      <w:tr w:rsidR="00461B79" w:rsidTr="002B0D9C">
        <w:trPr>
          <w:trHeight w:val="340"/>
          <w:jc w:val="center"/>
        </w:trPr>
        <w:tc>
          <w:tcPr>
            <w:tcW w:w="2022" w:type="dxa"/>
            <w:shd w:val="clear" w:color="auto" w:fill="FFFFFF"/>
            <w:vAlign w:val="center"/>
          </w:tcPr>
          <w:p w:rsidR="00461B79" w:rsidRDefault="00461B79" w:rsidP="00E84C77">
            <w:pPr>
              <w:bidi w:val="0"/>
              <w:jc w:val="center"/>
              <w:rPr>
                <w:b/>
                <w:bCs/>
              </w:rPr>
            </w:pPr>
            <w:r>
              <w:rPr>
                <w:b/>
                <w:bCs/>
              </w:rPr>
              <w:t>Source</w:t>
            </w:r>
          </w:p>
        </w:tc>
        <w:tc>
          <w:tcPr>
            <w:tcW w:w="2860" w:type="dxa"/>
            <w:shd w:val="clear" w:color="auto" w:fill="FFFFFF"/>
            <w:vAlign w:val="center"/>
          </w:tcPr>
          <w:p w:rsidR="00461B79" w:rsidRDefault="00461B79" w:rsidP="00E84C77">
            <w:pPr>
              <w:bidi w:val="0"/>
              <w:jc w:val="center"/>
              <w:rPr>
                <w:b/>
                <w:bCs/>
              </w:rPr>
            </w:pPr>
            <w:r>
              <w:rPr>
                <w:b/>
                <w:bCs/>
              </w:rPr>
              <w:t>Price Index</w:t>
            </w:r>
          </w:p>
        </w:tc>
        <w:tc>
          <w:tcPr>
            <w:tcW w:w="4091" w:type="dxa"/>
            <w:shd w:val="clear" w:color="auto" w:fill="FFFFFF"/>
            <w:vAlign w:val="center"/>
          </w:tcPr>
          <w:p w:rsidR="00461B79" w:rsidRDefault="00461B79" w:rsidP="00E84C77">
            <w:pPr>
              <w:bidi w:val="0"/>
              <w:jc w:val="center"/>
              <w:rPr>
                <w:b/>
                <w:bCs/>
              </w:rPr>
            </w:pPr>
            <w:r>
              <w:rPr>
                <w:b/>
                <w:bCs/>
              </w:rPr>
              <w:t>Transaction</w:t>
            </w:r>
          </w:p>
        </w:tc>
      </w:tr>
      <w:tr w:rsidR="00461B79" w:rsidTr="002B0D9C">
        <w:trPr>
          <w:trHeight w:val="340"/>
          <w:jc w:val="center"/>
        </w:trPr>
        <w:tc>
          <w:tcPr>
            <w:tcW w:w="2022" w:type="dxa"/>
          </w:tcPr>
          <w:p w:rsidR="00461B79" w:rsidRDefault="00461B79" w:rsidP="009B22B0">
            <w:pPr>
              <w:bidi w:val="0"/>
              <w:rPr>
                <w:i/>
                <w:iCs/>
              </w:rPr>
            </w:pPr>
          </w:p>
        </w:tc>
        <w:tc>
          <w:tcPr>
            <w:tcW w:w="2860" w:type="dxa"/>
          </w:tcPr>
          <w:p w:rsidR="00461B79" w:rsidRDefault="00461B79" w:rsidP="009B22B0">
            <w:pPr>
              <w:bidi w:val="0"/>
            </w:pPr>
          </w:p>
        </w:tc>
        <w:tc>
          <w:tcPr>
            <w:tcW w:w="4091" w:type="dxa"/>
          </w:tcPr>
          <w:p w:rsidR="00461B79" w:rsidRDefault="00461B79" w:rsidP="009B22B0">
            <w:pPr>
              <w:bidi w:val="0"/>
              <w:rPr>
                <w:b/>
                <w:bCs/>
              </w:rPr>
            </w:pPr>
            <w:r>
              <w:rPr>
                <w:b/>
                <w:bCs/>
              </w:rPr>
              <w:t>Output</w:t>
            </w:r>
          </w:p>
        </w:tc>
      </w:tr>
      <w:tr w:rsidR="00461B79" w:rsidTr="002B0D9C">
        <w:trPr>
          <w:trHeight w:val="340"/>
          <w:jc w:val="center"/>
        </w:trPr>
        <w:tc>
          <w:tcPr>
            <w:tcW w:w="2022" w:type="dxa"/>
          </w:tcPr>
          <w:p w:rsidR="00461B79" w:rsidRDefault="00461B79" w:rsidP="009B22B0">
            <w:pPr>
              <w:bidi w:val="0"/>
            </w:pPr>
            <w:r>
              <w:t>PCBS</w:t>
            </w:r>
          </w:p>
        </w:tc>
        <w:tc>
          <w:tcPr>
            <w:tcW w:w="2860" w:type="dxa"/>
          </w:tcPr>
          <w:p w:rsidR="00461B79" w:rsidRDefault="00461B79" w:rsidP="009B22B0">
            <w:pPr>
              <w:bidi w:val="0"/>
            </w:pPr>
            <w:r>
              <w:t>Pal-PPI</w:t>
            </w:r>
          </w:p>
        </w:tc>
        <w:tc>
          <w:tcPr>
            <w:tcW w:w="4091" w:type="dxa"/>
          </w:tcPr>
          <w:p w:rsidR="00461B79" w:rsidRDefault="00461B79" w:rsidP="009B22B0">
            <w:pPr>
              <w:bidi w:val="0"/>
            </w:pPr>
            <w:r>
              <w:t>Output from Goods</w:t>
            </w:r>
          </w:p>
        </w:tc>
      </w:tr>
      <w:tr w:rsidR="00461B79" w:rsidTr="002B0D9C">
        <w:trPr>
          <w:trHeight w:val="340"/>
          <w:jc w:val="center"/>
        </w:trPr>
        <w:tc>
          <w:tcPr>
            <w:tcW w:w="2022" w:type="dxa"/>
          </w:tcPr>
          <w:p w:rsidR="00461B79" w:rsidRDefault="00461B79" w:rsidP="009B22B0">
            <w:pPr>
              <w:bidi w:val="0"/>
            </w:pPr>
            <w:r>
              <w:t>PCBS</w:t>
            </w:r>
          </w:p>
        </w:tc>
        <w:tc>
          <w:tcPr>
            <w:tcW w:w="2860" w:type="dxa"/>
          </w:tcPr>
          <w:p w:rsidR="00461B79" w:rsidRDefault="00461B79" w:rsidP="009B22B0">
            <w:pPr>
              <w:bidi w:val="0"/>
            </w:pPr>
            <w:r>
              <w:t>Special Index based on the components of the output</w:t>
            </w:r>
          </w:p>
        </w:tc>
        <w:tc>
          <w:tcPr>
            <w:tcW w:w="4091" w:type="dxa"/>
          </w:tcPr>
          <w:p w:rsidR="00461B79" w:rsidRDefault="00461B79" w:rsidP="009B22B0">
            <w:pPr>
              <w:bidi w:val="0"/>
            </w:pPr>
            <w:r>
              <w:t>Output from Buildings</w:t>
            </w:r>
          </w:p>
        </w:tc>
      </w:tr>
      <w:tr w:rsidR="00461B79" w:rsidTr="002B0D9C">
        <w:trPr>
          <w:trHeight w:val="340"/>
          <w:jc w:val="center"/>
        </w:trPr>
        <w:tc>
          <w:tcPr>
            <w:tcW w:w="2022" w:type="dxa"/>
          </w:tcPr>
          <w:p w:rsidR="00461B79" w:rsidRDefault="00461B79" w:rsidP="009B22B0">
            <w:pPr>
              <w:bidi w:val="0"/>
            </w:pPr>
            <w:r>
              <w:t>PCBS</w:t>
            </w:r>
          </w:p>
        </w:tc>
        <w:tc>
          <w:tcPr>
            <w:tcW w:w="2860" w:type="dxa"/>
          </w:tcPr>
          <w:p w:rsidR="00461B79" w:rsidRDefault="00461B79" w:rsidP="009B22B0">
            <w:pPr>
              <w:bidi w:val="0"/>
            </w:pPr>
            <w:r>
              <w:t>Pal- CPI</w:t>
            </w:r>
          </w:p>
        </w:tc>
        <w:tc>
          <w:tcPr>
            <w:tcW w:w="4091" w:type="dxa"/>
          </w:tcPr>
          <w:p w:rsidR="00461B79" w:rsidRDefault="00461B79" w:rsidP="009B22B0">
            <w:pPr>
              <w:bidi w:val="0"/>
            </w:pPr>
            <w:r>
              <w:t>Services</w:t>
            </w:r>
          </w:p>
        </w:tc>
      </w:tr>
      <w:tr w:rsidR="00461B79" w:rsidTr="002B0D9C">
        <w:trPr>
          <w:trHeight w:val="340"/>
          <w:jc w:val="center"/>
        </w:trPr>
        <w:tc>
          <w:tcPr>
            <w:tcW w:w="2022" w:type="dxa"/>
          </w:tcPr>
          <w:p w:rsidR="00461B79" w:rsidRDefault="00461B79" w:rsidP="009B22B0">
            <w:pPr>
              <w:bidi w:val="0"/>
            </w:pPr>
            <w:r>
              <w:t>PCBS</w:t>
            </w:r>
          </w:p>
        </w:tc>
        <w:tc>
          <w:tcPr>
            <w:tcW w:w="2860" w:type="dxa"/>
          </w:tcPr>
          <w:p w:rsidR="00461B79" w:rsidRDefault="00461B79" w:rsidP="009B22B0">
            <w:pPr>
              <w:bidi w:val="0"/>
            </w:pPr>
            <w:r>
              <w:t>Pal-WPI</w:t>
            </w:r>
          </w:p>
        </w:tc>
        <w:tc>
          <w:tcPr>
            <w:tcW w:w="4091" w:type="dxa"/>
          </w:tcPr>
          <w:p w:rsidR="00461B79" w:rsidRDefault="00461B79" w:rsidP="009B22B0">
            <w:pPr>
              <w:bidi w:val="0"/>
            </w:pPr>
            <w:r>
              <w:t>VAT on Imports</w:t>
            </w:r>
          </w:p>
        </w:tc>
      </w:tr>
      <w:tr w:rsidR="00461B79" w:rsidTr="002B0D9C">
        <w:trPr>
          <w:trHeight w:val="340"/>
          <w:jc w:val="center"/>
        </w:trPr>
        <w:tc>
          <w:tcPr>
            <w:tcW w:w="2022" w:type="dxa"/>
          </w:tcPr>
          <w:p w:rsidR="00461B79" w:rsidRDefault="00461B79" w:rsidP="009B22B0">
            <w:pPr>
              <w:bidi w:val="0"/>
              <w:rPr>
                <w:i/>
                <w:iCs/>
              </w:rPr>
            </w:pPr>
          </w:p>
        </w:tc>
        <w:tc>
          <w:tcPr>
            <w:tcW w:w="2860" w:type="dxa"/>
          </w:tcPr>
          <w:p w:rsidR="00461B79" w:rsidRDefault="00461B79" w:rsidP="009B22B0">
            <w:pPr>
              <w:bidi w:val="0"/>
            </w:pPr>
            <w:r>
              <w:t>Residual</w:t>
            </w:r>
          </w:p>
        </w:tc>
        <w:tc>
          <w:tcPr>
            <w:tcW w:w="4091" w:type="dxa"/>
          </w:tcPr>
          <w:p w:rsidR="00461B79" w:rsidRDefault="00461B79" w:rsidP="009B22B0">
            <w:pPr>
              <w:bidi w:val="0"/>
            </w:pPr>
            <w:r>
              <w:t>Imports of goods and services</w:t>
            </w:r>
          </w:p>
        </w:tc>
      </w:tr>
      <w:tr w:rsidR="00461B79" w:rsidTr="002B0D9C">
        <w:trPr>
          <w:trHeight w:val="340"/>
          <w:jc w:val="center"/>
        </w:trPr>
        <w:tc>
          <w:tcPr>
            <w:tcW w:w="2022" w:type="dxa"/>
          </w:tcPr>
          <w:p w:rsidR="00461B79" w:rsidRDefault="00461B79" w:rsidP="009B22B0">
            <w:pPr>
              <w:bidi w:val="0"/>
              <w:rPr>
                <w:i/>
                <w:iCs/>
              </w:rPr>
            </w:pPr>
          </w:p>
        </w:tc>
        <w:tc>
          <w:tcPr>
            <w:tcW w:w="2860" w:type="dxa"/>
          </w:tcPr>
          <w:p w:rsidR="00461B79" w:rsidRDefault="00461B79" w:rsidP="009B22B0">
            <w:pPr>
              <w:bidi w:val="0"/>
            </w:pPr>
          </w:p>
        </w:tc>
        <w:tc>
          <w:tcPr>
            <w:tcW w:w="4091" w:type="dxa"/>
          </w:tcPr>
          <w:p w:rsidR="00461B79" w:rsidRDefault="00461B79" w:rsidP="009B22B0">
            <w:pPr>
              <w:bidi w:val="0"/>
              <w:rPr>
                <w:b/>
                <w:bCs/>
              </w:rPr>
            </w:pPr>
            <w:r>
              <w:rPr>
                <w:b/>
                <w:bCs/>
              </w:rPr>
              <w:t>Intermediate Consumption</w:t>
            </w:r>
          </w:p>
        </w:tc>
      </w:tr>
      <w:tr w:rsidR="00461B79" w:rsidTr="002B0D9C">
        <w:trPr>
          <w:trHeight w:val="340"/>
          <w:jc w:val="center"/>
        </w:trPr>
        <w:tc>
          <w:tcPr>
            <w:tcW w:w="2022" w:type="dxa"/>
          </w:tcPr>
          <w:p w:rsidR="00461B79" w:rsidRDefault="00461B79" w:rsidP="009B22B0">
            <w:pPr>
              <w:bidi w:val="0"/>
            </w:pPr>
            <w:r>
              <w:t>PCBS</w:t>
            </w:r>
          </w:p>
        </w:tc>
        <w:tc>
          <w:tcPr>
            <w:tcW w:w="2860" w:type="dxa"/>
          </w:tcPr>
          <w:p w:rsidR="00461B79" w:rsidRDefault="00461B79" w:rsidP="009B22B0">
            <w:pPr>
              <w:bidi w:val="0"/>
            </w:pPr>
            <w:r>
              <w:t>Pal-WPI</w:t>
            </w:r>
          </w:p>
        </w:tc>
        <w:tc>
          <w:tcPr>
            <w:tcW w:w="4091" w:type="dxa"/>
          </w:tcPr>
          <w:p w:rsidR="00461B79" w:rsidRDefault="00461B79" w:rsidP="009B22B0">
            <w:pPr>
              <w:bidi w:val="0"/>
            </w:pPr>
            <w:r>
              <w:t>From Goods</w:t>
            </w:r>
          </w:p>
        </w:tc>
      </w:tr>
      <w:tr w:rsidR="00461B79" w:rsidTr="002B0D9C">
        <w:trPr>
          <w:trHeight w:val="340"/>
          <w:jc w:val="center"/>
        </w:trPr>
        <w:tc>
          <w:tcPr>
            <w:tcW w:w="2022" w:type="dxa"/>
          </w:tcPr>
          <w:p w:rsidR="00461B79" w:rsidRDefault="00461B79" w:rsidP="009B22B0">
            <w:pPr>
              <w:bidi w:val="0"/>
              <w:rPr>
                <w:lang w:val="en-GB"/>
              </w:rPr>
            </w:pPr>
            <w:r>
              <w:t>Israeli Abstract</w:t>
            </w:r>
          </w:p>
        </w:tc>
        <w:tc>
          <w:tcPr>
            <w:tcW w:w="2860" w:type="dxa"/>
          </w:tcPr>
          <w:p w:rsidR="00461B79" w:rsidRDefault="00461B79" w:rsidP="009B22B0">
            <w:pPr>
              <w:bidi w:val="0"/>
              <w:rPr>
                <w:lang w:val="en-GB"/>
              </w:rPr>
            </w:pPr>
            <w:r>
              <w:t>Isr-WPI</w:t>
            </w:r>
          </w:p>
        </w:tc>
        <w:tc>
          <w:tcPr>
            <w:tcW w:w="4091" w:type="dxa"/>
          </w:tcPr>
          <w:p w:rsidR="00461B79" w:rsidRDefault="00461B79" w:rsidP="009B22B0">
            <w:pPr>
              <w:bidi w:val="0"/>
            </w:pPr>
            <w:r>
              <w:t>From Services</w:t>
            </w:r>
          </w:p>
        </w:tc>
      </w:tr>
      <w:tr w:rsidR="00461B79" w:rsidTr="002B0D9C">
        <w:trPr>
          <w:trHeight w:val="340"/>
          <w:jc w:val="center"/>
        </w:trPr>
        <w:tc>
          <w:tcPr>
            <w:tcW w:w="2022" w:type="dxa"/>
          </w:tcPr>
          <w:p w:rsidR="00461B79" w:rsidRDefault="00461B79" w:rsidP="009B22B0">
            <w:pPr>
              <w:bidi w:val="0"/>
              <w:rPr>
                <w:i/>
                <w:iCs/>
              </w:rPr>
            </w:pPr>
          </w:p>
        </w:tc>
        <w:tc>
          <w:tcPr>
            <w:tcW w:w="2860" w:type="dxa"/>
          </w:tcPr>
          <w:p w:rsidR="00461B79" w:rsidRDefault="00461B79" w:rsidP="009B22B0">
            <w:pPr>
              <w:bidi w:val="0"/>
            </w:pPr>
          </w:p>
        </w:tc>
        <w:tc>
          <w:tcPr>
            <w:tcW w:w="4091" w:type="dxa"/>
          </w:tcPr>
          <w:p w:rsidR="00461B79" w:rsidRDefault="00461B79" w:rsidP="009B22B0">
            <w:pPr>
              <w:bidi w:val="0"/>
              <w:rPr>
                <w:b/>
                <w:bCs/>
              </w:rPr>
            </w:pPr>
            <w:r>
              <w:rPr>
                <w:b/>
                <w:bCs/>
              </w:rPr>
              <w:t>Final Consumption</w:t>
            </w:r>
          </w:p>
        </w:tc>
      </w:tr>
      <w:tr w:rsidR="00461B79" w:rsidTr="002B0D9C">
        <w:trPr>
          <w:trHeight w:val="340"/>
          <w:jc w:val="center"/>
        </w:trPr>
        <w:tc>
          <w:tcPr>
            <w:tcW w:w="2022" w:type="dxa"/>
          </w:tcPr>
          <w:p w:rsidR="00461B79" w:rsidRDefault="00461B79" w:rsidP="009B22B0">
            <w:pPr>
              <w:bidi w:val="0"/>
            </w:pPr>
            <w:r>
              <w:t>PCBS</w:t>
            </w:r>
          </w:p>
        </w:tc>
        <w:tc>
          <w:tcPr>
            <w:tcW w:w="2860" w:type="dxa"/>
          </w:tcPr>
          <w:p w:rsidR="00461B79" w:rsidRDefault="00461B79" w:rsidP="009B22B0">
            <w:pPr>
              <w:bidi w:val="0"/>
            </w:pPr>
            <w:r>
              <w:t>Pal- CPI</w:t>
            </w:r>
          </w:p>
        </w:tc>
        <w:tc>
          <w:tcPr>
            <w:tcW w:w="4091" w:type="dxa"/>
          </w:tcPr>
          <w:p w:rsidR="00461B79" w:rsidRDefault="00461B79" w:rsidP="009B22B0">
            <w:pPr>
              <w:bidi w:val="0"/>
            </w:pPr>
            <w:r>
              <w:t>Household Final Consumption</w:t>
            </w:r>
          </w:p>
        </w:tc>
      </w:tr>
      <w:tr w:rsidR="00461B79" w:rsidTr="002B0D9C">
        <w:trPr>
          <w:trHeight w:val="340"/>
          <w:jc w:val="center"/>
        </w:trPr>
        <w:tc>
          <w:tcPr>
            <w:tcW w:w="2022" w:type="dxa"/>
          </w:tcPr>
          <w:p w:rsidR="00461B79" w:rsidRDefault="00461B79" w:rsidP="009B22B0">
            <w:pPr>
              <w:bidi w:val="0"/>
            </w:pPr>
            <w:r>
              <w:t>PCBS</w:t>
            </w:r>
          </w:p>
        </w:tc>
        <w:tc>
          <w:tcPr>
            <w:tcW w:w="2860" w:type="dxa"/>
          </w:tcPr>
          <w:p w:rsidR="00461B79" w:rsidRDefault="00461B79" w:rsidP="009B22B0">
            <w:pPr>
              <w:bidi w:val="0"/>
            </w:pPr>
            <w:r>
              <w:t xml:space="preserve">Special Index based on the production of Government </w:t>
            </w:r>
          </w:p>
        </w:tc>
        <w:tc>
          <w:tcPr>
            <w:tcW w:w="4091" w:type="dxa"/>
          </w:tcPr>
          <w:p w:rsidR="00461B79" w:rsidRDefault="00461B79" w:rsidP="009B22B0">
            <w:pPr>
              <w:bidi w:val="0"/>
            </w:pPr>
            <w:r>
              <w:t>Government Final Consumption</w:t>
            </w:r>
          </w:p>
        </w:tc>
      </w:tr>
      <w:tr w:rsidR="00461B79" w:rsidTr="002B0D9C">
        <w:trPr>
          <w:trHeight w:val="340"/>
          <w:jc w:val="center"/>
        </w:trPr>
        <w:tc>
          <w:tcPr>
            <w:tcW w:w="2022" w:type="dxa"/>
          </w:tcPr>
          <w:p w:rsidR="00461B79" w:rsidRDefault="00461B79" w:rsidP="009B22B0">
            <w:pPr>
              <w:bidi w:val="0"/>
            </w:pPr>
            <w:r>
              <w:t>PCBS</w:t>
            </w:r>
          </w:p>
        </w:tc>
        <w:tc>
          <w:tcPr>
            <w:tcW w:w="2860" w:type="dxa"/>
          </w:tcPr>
          <w:p w:rsidR="00461B79" w:rsidRDefault="00461B79" w:rsidP="009B22B0">
            <w:pPr>
              <w:bidi w:val="0"/>
            </w:pPr>
            <w:r>
              <w:t>Pal-WPI</w:t>
            </w:r>
          </w:p>
        </w:tc>
        <w:tc>
          <w:tcPr>
            <w:tcW w:w="4091" w:type="dxa"/>
          </w:tcPr>
          <w:p w:rsidR="00461B79" w:rsidRDefault="00461B79" w:rsidP="009B22B0">
            <w:pPr>
              <w:bidi w:val="0"/>
            </w:pPr>
            <w:r>
              <w:t>NPISH Final Consumption</w:t>
            </w:r>
          </w:p>
        </w:tc>
      </w:tr>
      <w:tr w:rsidR="00461B79" w:rsidTr="002B0D9C">
        <w:trPr>
          <w:trHeight w:val="340"/>
          <w:jc w:val="center"/>
        </w:trPr>
        <w:tc>
          <w:tcPr>
            <w:tcW w:w="2022" w:type="dxa"/>
          </w:tcPr>
          <w:p w:rsidR="00461B79" w:rsidRDefault="00461B79" w:rsidP="009B22B0">
            <w:pPr>
              <w:bidi w:val="0"/>
              <w:rPr>
                <w:i/>
                <w:iCs/>
              </w:rPr>
            </w:pPr>
          </w:p>
        </w:tc>
        <w:tc>
          <w:tcPr>
            <w:tcW w:w="2860" w:type="dxa"/>
          </w:tcPr>
          <w:p w:rsidR="00461B79" w:rsidRDefault="00461B79" w:rsidP="009B22B0">
            <w:pPr>
              <w:bidi w:val="0"/>
            </w:pPr>
          </w:p>
        </w:tc>
        <w:tc>
          <w:tcPr>
            <w:tcW w:w="4091" w:type="dxa"/>
          </w:tcPr>
          <w:p w:rsidR="00461B79" w:rsidRDefault="00461B79" w:rsidP="009B22B0">
            <w:pPr>
              <w:bidi w:val="0"/>
              <w:rPr>
                <w:b/>
                <w:bCs/>
              </w:rPr>
            </w:pPr>
            <w:r>
              <w:rPr>
                <w:b/>
                <w:bCs/>
              </w:rPr>
              <w:t>Gross Capital Formation</w:t>
            </w:r>
          </w:p>
        </w:tc>
      </w:tr>
      <w:tr w:rsidR="00461B79" w:rsidTr="002B0D9C">
        <w:trPr>
          <w:trHeight w:val="340"/>
          <w:jc w:val="center"/>
        </w:trPr>
        <w:tc>
          <w:tcPr>
            <w:tcW w:w="2022" w:type="dxa"/>
          </w:tcPr>
          <w:p w:rsidR="00461B79" w:rsidRDefault="00461B79" w:rsidP="009B22B0">
            <w:pPr>
              <w:bidi w:val="0"/>
            </w:pPr>
            <w:r>
              <w:t>PCBS</w:t>
            </w:r>
          </w:p>
        </w:tc>
        <w:tc>
          <w:tcPr>
            <w:tcW w:w="2860" w:type="dxa"/>
          </w:tcPr>
          <w:p w:rsidR="00461B79" w:rsidRDefault="00461B79" w:rsidP="009B22B0">
            <w:pPr>
              <w:bidi w:val="0"/>
            </w:pPr>
            <w:r>
              <w:t>Pal-WPI</w:t>
            </w:r>
          </w:p>
        </w:tc>
        <w:tc>
          <w:tcPr>
            <w:tcW w:w="4091" w:type="dxa"/>
          </w:tcPr>
          <w:p w:rsidR="00461B79" w:rsidRDefault="00461B79" w:rsidP="009B22B0">
            <w:pPr>
              <w:bidi w:val="0"/>
            </w:pPr>
            <w:r>
              <w:t>Gross Fixed Capital Formation</w:t>
            </w:r>
          </w:p>
        </w:tc>
      </w:tr>
      <w:tr w:rsidR="00461B79" w:rsidTr="00A052BD">
        <w:trPr>
          <w:trHeight w:val="340"/>
          <w:jc w:val="center"/>
        </w:trPr>
        <w:tc>
          <w:tcPr>
            <w:tcW w:w="2022" w:type="dxa"/>
            <w:tcBorders>
              <w:bottom w:val="single" w:sz="4" w:space="0" w:color="auto"/>
            </w:tcBorders>
          </w:tcPr>
          <w:p w:rsidR="00461B79" w:rsidRDefault="00461B79" w:rsidP="009B22B0">
            <w:pPr>
              <w:bidi w:val="0"/>
              <w:rPr>
                <w:lang w:val="en-GB"/>
              </w:rPr>
            </w:pPr>
            <w:r>
              <w:t>PCBS</w:t>
            </w:r>
          </w:p>
        </w:tc>
        <w:tc>
          <w:tcPr>
            <w:tcW w:w="2860" w:type="dxa"/>
            <w:tcBorders>
              <w:bottom w:val="single" w:sz="4" w:space="0" w:color="auto"/>
            </w:tcBorders>
          </w:tcPr>
          <w:p w:rsidR="00461B79" w:rsidRDefault="00461B79" w:rsidP="009B22B0">
            <w:pPr>
              <w:bidi w:val="0"/>
            </w:pPr>
            <w:r>
              <w:t>Pal-WPI</w:t>
            </w:r>
          </w:p>
        </w:tc>
        <w:tc>
          <w:tcPr>
            <w:tcW w:w="4091" w:type="dxa"/>
            <w:tcBorders>
              <w:bottom w:val="single" w:sz="4" w:space="0" w:color="auto"/>
            </w:tcBorders>
          </w:tcPr>
          <w:p w:rsidR="00461B79" w:rsidRDefault="00461B79" w:rsidP="009B22B0">
            <w:pPr>
              <w:bidi w:val="0"/>
            </w:pPr>
            <w:r>
              <w:t>Changes in Inventories</w:t>
            </w:r>
          </w:p>
        </w:tc>
      </w:tr>
      <w:tr w:rsidR="00461B79" w:rsidTr="00A052BD">
        <w:trPr>
          <w:trHeight w:val="340"/>
          <w:jc w:val="center"/>
        </w:trPr>
        <w:tc>
          <w:tcPr>
            <w:tcW w:w="2022" w:type="dxa"/>
            <w:tcBorders>
              <w:bottom w:val="single" w:sz="4" w:space="0" w:color="auto"/>
            </w:tcBorders>
          </w:tcPr>
          <w:p w:rsidR="00461B79" w:rsidRDefault="00461B79" w:rsidP="009B22B0">
            <w:pPr>
              <w:bidi w:val="0"/>
              <w:rPr>
                <w:lang w:val="en-GB"/>
              </w:rPr>
            </w:pPr>
            <w:r>
              <w:t>PCBS</w:t>
            </w:r>
          </w:p>
        </w:tc>
        <w:tc>
          <w:tcPr>
            <w:tcW w:w="2860" w:type="dxa"/>
            <w:tcBorders>
              <w:bottom w:val="single" w:sz="4" w:space="0" w:color="auto"/>
            </w:tcBorders>
          </w:tcPr>
          <w:p w:rsidR="00461B79" w:rsidRDefault="00461B79" w:rsidP="009B22B0">
            <w:pPr>
              <w:bidi w:val="0"/>
            </w:pPr>
            <w:r>
              <w:t>Pal-PPI</w:t>
            </w:r>
          </w:p>
        </w:tc>
        <w:tc>
          <w:tcPr>
            <w:tcW w:w="4091" w:type="dxa"/>
            <w:tcBorders>
              <w:bottom w:val="single" w:sz="4" w:space="0" w:color="auto"/>
            </w:tcBorders>
          </w:tcPr>
          <w:p w:rsidR="00461B79" w:rsidRDefault="00461B79" w:rsidP="009B22B0">
            <w:pPr>
              <w:bidi w:val="0"/>
            </w:pPr>
            <w:r>
              <w:t>Exports of goods and services</w:t>
            </w:r>
          </w:p>
        </w:tc>
      </w:tr>
    </w:tbl>
    <w:p w:rsidR="00461B79" w:rsidRDefault="00461B79" w:rsidP="00461B79">
      <w:pPr>
        <w:bidi w:val="0"/>
      </w:pPr>
    </w:p>
    <w:p w:rsidR="00461B79" w:rsidRDefault="007E685A" w:rsidP="00CE2506">
      <w:pPr>
        <w:bidi w:val="0"/>
        <w:jc w:val="lowKashida"/>
        <w:rPr>
          <w:b/>
          <w:bCs/>
        </w:rPr>
      </w:pPr>
      <w:r>
        <w:rPr>
          <w:b/>
          <w:bCs/>
        </w:rPr>
        <w:t>2</w:t>
      </w:r>
      <w:r w:rsidR="00650DD6">
        <w:rPr>
          <w:b/>
          <w:bCs/>
        </w:rPr>
        <w:t>.2</w:t>
      </w:r>
      <w:r w:rsidR="00461B79">
        <w:rPr>
          <w:b/>
          <w:bCs/>
        </w:rPr>
        <w:t xml:space="preserve"> Institutional National Accounts</w:t>
      </w:r>
    </w:p>
    <w:p w:rsidR="00461B79" w:rsidRDefault="00461B79" w:rsidP="00CE2506">
      <w:pPr>
        <w:bidi w:val="0"/>
        <w:jc w:val="lowKashida"/>
        <w:rPr>
          <w:lang w:val="en-GB"/>
        </w:rPr>
      </w:pPr>
      <w:r>
        <w:rPr>
          <w:lang w:val="en-GB"/>
        </w:rPr>
        <w:t xml:space="preserve">The methodology for compiling the Institutional National Accounts is based mainly </w:t>
      </w:r>
      <w:proofErr w:type="gramStart"/>
      <w:r>
        <w:rPr>
          <w:lang w:val="en-GB"/>
        </w:rPr>
        <w:t>on  Annual</w:t>
      </w:r>
      <w:proofErr w:type="gramEnd"/>
      <w:r>
        <w:rPr>
          <w:lang w:val="en-GB"/>
        </w:rPr>
        <w:t xml:space="preserve"> National Accounts. Therefore, the results of this report for institutional accounts depend on  annual national accounts for the years</w:t>
      </w:r>
      <w:r w:rsidR="00473834">
        <w:rPr>
          <w:lang w:val="en-GB"/>
        </w:rPr>
        <w:t xml:space="preserve"> between </w:t>
      </w:r>
      <w:r>
        <w:rPr>
          <w:lang w:val="en-GB"/>
        </w:rPr>
        <w:t xml:space="preserve"> </w:t>
      </w:r>
      <w:r w:rsidR="00CE2506">
        <w:rPr>
          <w:lang w:val="en-GB"/>
        </w:rPr>
        <w:t>2009</w:t>
      </w:r>
      <w:r w:rsidR="00473834">
        <w:rPr>
          <w:lang w:val="en-GB"/>
        </w:rPr>
        <w:t>-</w:t>
      </w:r>
      <w:r w:rsidR="0007072F">
        <w:rPr>
          <w:lang w:val="en-GB"/>
        </w:rPr>
        <w:t xml:space="preserve"> 2010</w:t>
      </w:r>
      <w:r w:rsidR="00CE2506">
        <w:rPr>
          <w:lang w:val="en-GB"/>
        </w:rPr>
        <w:t xml:space="preserve"> </w:t>
      </w:r>
      <w:r>
        <w:rPr>
          <w:lang w:val="en-GB"/>
        </w:rPr>
        <w:t>as a basis for the institutional distribution for institutions and based on the recommendations of the SNA’ 93.</w:t>
      </w:r>
    </w:p>
    <w:p w:rsidR="00461B79" w:rsidRPr="00D27235" w:rsidRDefault="00461B79" w:rsidP="00461B79">
      <w:pPr>
        <w:bidi w:val="0"/>
        <w:jc w:val="lowKashida"/>
        <w:rPr>
          <w:sz w:val="16"/>
          <w:szCs w:val="16"/>
          <w:lang w:val="en-GB"/>
        </w:rPr>
      </w:pPr>
    </w:p>
    <w:p w:rsidR="00461B79" w:rsidRDefault="00461B79" w:rsidP="00461B79">
      <w:pPr>
        <w:bidi w:val="0"/>
        <w:jc w:val="lowKashida"/>
        <w:rPr>
          <w:lang w:val="en-GB"/>
        </w:rPr>
      </w:pPr>
      <w:r>
        <w:rPr>
          <w:lang w:val="en-GB"/>
        </w:rPr>
        <w:t>Two approaches were used to compil</w:t>
      </w:r>
      <w:r w:rsidR="00473834">
        <w:rPr>
          <w:lang w:val="en-GB"/>
        </w:rPr>
        <w:t>ing</w:t>
      </w:r>
      <w:r>
        <w:rPr>
          <w:lang w:val="en-GB"/>
        </w:rPr>
        <w:t xml:space="preserve"> institutional national accounts based on sources </w:t>
      </w:r>
      <w:proofErr w:type="gramStart"/>
      <w:r>
        <w:rPr>
          <w:lang w:val="en-GB"/>
        </w:rPr>
        <w:t>of  data</w:t>
      </w:r>
      <w:proofErr w:type="gramEnd"/>
      <w:r>
        <w:rPr>
          <w:lang w:val="en-GB"/>
        </w:rPr>
        <w:t xml:space="preserve"> and their particularity.</w:t>
      </w:r>
    </w:p>
    <w:p w:rsidR="00461B79" w:rsidRDefault="00461B79" w:rsidP="00461B79">
      <w:pPr>
        <w:bidi w:val="0"/>
        <w:jc w:val="lowKashida"/>
        <w:rPr>
          <w:lang w:val="en-GB"/>
        </w:rPr>
      </w:pPr>
    </w:p>
    <w:p w:rsidR="00461B79" w:rsidRDefault="00461B79" w:rsidP="00461B79">
      <w:pPr>
        <w:bidi w:val="0"/>
        <w:jc w:val="lowKashida"/>
        <w:rPr>
          <w:b/>
          <w:bCs/>
          <w:lang w:val="en-GB"/>
        </w:rPr>
      </w:pPr>
      <w:r>
        <w:rPr>
          <w:b/>
          <w:bCs/>
          <w:lang w:val="en-GB"/>
        </w:rPr>
        <w:t>First approach consists of:</w:t>
      </w:r>
    </w:p>
    <w:p w:rsidR="00461B79" w:rsidRDefault="00461B79" w:rsidP="00E84C77">
      <w:pPr>
        <w:bidi w:val="0"/>
        <w:jc w:val="lowKashida"/>
        <w:rPr>
          <w:lang w:val="en-GB"/>
        </w:rPr>
      </w:pPr>
      <w:r>
        <w:rPr>
          <w:lang w:val="en-GB"/>
        </w:rPr>
        <w:t xml:space="preserve">Agriculture and Fishing: </w:t>
      </w:r>
      <w:r>
        <w:rPr>
          <w:lang w:val="en-GB"/>
        </w:rPr>
        <w:tab/>
      </w:r>
      <w:r>
        <w:rPr>
          <w:lang w:val="en-GB"/>
        </w:rPr>
        <w:tab/>
      </w:r>
      <w:r w:rsidR="00E84C77">
        <w:rPr>
          <w:lang w:val="en-GB"/>
        </w:rPr>
        <w:t xml:space="preserve">     </w:t>
      </w:r>
      <w:r>
        <w:rPr>
          <w:lang w:val="en-GB"/>
        </w:rPr>
        <w:t>Classified as Household sector.</w:t>
      </w:r>
    </w:p>
    <w:p w:rsidR="00461B79" w:rsidRDefault="00461B79" w:rsidP="00461B79">
      <w:pPr>
        <w:bidi w:val="0"/>
        <w:jc w:val="lowKashida"/>
        <w:rPr>
          <w:lang w:val="en-GB"/>
        </w:rPr>
      </w:pPr>
      <w:r>
        <w:rPr>
          <w:lang w:val="en-GB"/>
        </w:rPr>
        <w:t xml:space="preserve">Financial Intermediation: </w:t>
      </w:r>
      <w:r>
        <w:rPr>
          <w:lang w:val="en-GB"/>
        </w:rPr>
        <w:tab/>
      </w:r>
      <w:r>
        <w:rPr>
          <w:lang w:val="en-GB"/>
        </w:rPr>
        <w:tab/>
      </w:r>
      <w:r w:rsidR="00E84C77">
        <w:rPr>
          <w:lang w:val="en-GB"/>
        </w:rPr>
        <w:t xml:space="preserve">     </w:t>
      </w:r>
      <w:r>
        <w:rPr>
          <w:lang w:val="en-GB"/>
        </w:rPr>
        <w:t>Financial Institutions Sector.</w:t>
      </w:r>
    </w:p>
    <w:p w:rsidR="00461B79" w:rsidRDefault="00461B79" w:rsidP="00461B79">
      <w:pPr>
        <w:bidi w:val="0"/>
        <w:jc w:val="lowKashida"/>
        <w:rPr>
          <w:lang w:val="en-GB"/>
        </w:rPr>
      </w:pPr>
      <w:r>
        <w:rPr>
          <w:lang w:val="en-GB"/>
        </w:rPr>
        <w:t>Public Administration and Defence:       Government Sector.</w:t>
      </w:r>
    </w:p>
    <w:p w:rsidR="00461B79" w:rsidRDefault="00461B79" w:rsidP="00461B79">
      <w:pPr>
        <w:bidi w:val="0"/>
        <w:jc w:val="lowKashida"/>
        <w:rPr>
          <w:lang w:val="en-GB"/>
        </w:rPr>
      </w:pPr>
      <w:r>
        <w:rPr>
          <w:lang w:val="en-GB"/>
        </w:rPr>
        <w:t xml:space="preserve">Household Services: </w:t>
      </w:r>
      <w:r>
        <w:rPr>
          <w:lang w:val="en-GB"/>
        </w:rPr>
        <w:tab/>
      </w:r>
      <w:r>
        <w:rPr>
          <w:lang w:val="en-GB"/>
        </w:rPr>
        <w:tab/>
      </w:r>
      <w:r>
        <w:rPr>
          <w:lang w:val="en-GB"/>
        </w:rPr>
        <w:tab/>
      </w:r>
      <w:r w:rsidR="00E84C77">
        <w:rPr>
          <w:lang w:val="en-GB"/>
        </w:rPr>
        <w:t xml:space="preserve">     </w:t>
      </w:r>
      <w:r>
        <w:rPr>
          <w:lang w:val="en-GB"/>
        </w:rPr>
        <w:t>Household Sector.</w:t>
      </w:r>
    </w:p>
    <w:p w:rsidR="00461B79" w:rsidRDefault="00461B79" w:rsidP="00461B79">
      <w:pPr>
        <w:bidi w:val="0"/>
        <w:jc w:val="lowKashida"/>
        <w:rPr>
          <w:b/>
          <w:bCs/>
          <w:lang w:val="en-GB"/>
        </w:rPr>
      </w:pPr>
    </w:p>
    <w:p w:rsidR="00461B79" w:rsidRDefault="00461B79" w:rsidP="00461B79">
      <w:pPr>
        <w:bidi w:val="0"/>
        <w:jc w:val="lowKashida"/>
        <w:rPr>
          <w:b/>
          <w:bCs/>
          <w:lang w:val="en-GB"/>
        </w:rPr>
      </w:pPr>
      <w:r>
        <w:rPr>
          <w:b/>
          <w:bCs/>
          <w:lang w:val="en-GB"/>
        </w:rPr>
        <w:t>Second Approach:</w:t>
      </w:r>
    </w:p>
    <w:p w:rsidR="00461B79" w:rsidRDefault="00461B79" w:rsidP="00461B79">
      <w:pPr>
        <w:bidi w:val="0"/>
        <w:jc w:val="lowKashida"/>
        <w:rPr>
          <w:lang w:val="en-GB"/>
        </w:rPr>
      </w:pPr>
      <w:r>
        <w:rPr>
          <w:lang w:val="en-GB"/>
        </w:rPr>
        <w:t>It consists of all activities where data are collected from the economic surveys, and those data were classified by institutional sectors based on the legal entities. A percentage contribution for each sector was used as a basis for distributing the data for each sector.</w:t>
      </w:r>
    </w:p>
    <w:p w:rsidR="00461B79" w:rsidRDefault="00461B79" w:rsidP="00CE2506">
      <w:pPr>
        <w:bidi w:val="0"/>
      </w:pPr>
    </w:p>
    <w:p w:rsidR="00CE2506" w:rsidRDefault="00CE2506" w:rsidP="00CE2506">
      <w:pPr>
        <w:bidi w:val="0"/>
      </w:pPr>
    </w:p>
    <w:p w:rsidR="00461B79" w:rsidRDefault="00461B79" w:rsidP="00461B79">
      <w:pPr>
        <w:bidi w:val="0"/>
        <w:jc w:val="center"/>
        <w:rPr>
          <w:b/>
          <w:bCs/>
        </w:rPr>
      </w:pPr>
    </w:p>
    <w:p w:rsidR="00461B79" w:rsidRPr="00461B79" w:rsidRDefault="0097260F" w:rsidP="00CE2506">
      <w:pPr>
        <w:pStyle w:val="Heading2"/>
        <w:jc w:val="left"/>
        <w:rPr>
          <w:sz w:val="24"/>
          <w:szCs w:val="24"/>
        </w:rPr>
      </w:pPr>
      <w:r>
        <w:rPr>
          <w:sz w:val="24"/>
          <w:szCs w:val="24"/>
        </w:rPr>
        <w:lastRenderedPageBreak/>
        <w:t>2.</w:t>
      </w:r>
      <w:r w:rsidR="00CE2506">
        <w:rPr>
          <w:sz w:val="24"/>
          <w:szCs w:val="24"/>
        </w:rPr>
        <w:t>3</w:t>
      </w:r>
      <w:r>
        <w:rPr>
          <w:sz w:val="24"/>
          <w:szCs w:val="24"/>
        </w:rPr>
        <w:t xml:space="preserve"> </w:t>
      </w:r>
      <w:r w:rsidR="00461B79" w:rsidRPr="00461B79">
        <w:rPr>
          <w:sz w:val="24"/>
          <w:szCs w:val="24"/>
        </w:rPr>
        <w:t>Data Quality</w:t>
      </w:r>
    </w:p>
    <w:p w:rsidR="00461B79" w:rsidRDefault="00461B79" w:rsidP="00461B79">
      <w:pPr>
        <w:bidi w:val="0"/>
        <w:jc w:val="lowKashida"/>
      </w:pPr>
      <w:r>
        <w:t xml:space="preserve">SNA’1993 was adopted as a reference </w:t>
      </w:r>
      <w:proofErr w:type="gramStart"/>
      <w:r>
        <w:t>for  prepar</w:t>
      </w:r>
      <w:r w:rsidR="00473834">
        <w:t>ing</w:t>
      </w:r>
      <w:proofErr w:type="gramEnd"/>
      <w:r w:rsidR="00473834">
        <w:t xml:space="preserve"> </w:t>
      </w:r>
      <w:r>
        <w:t xml:space="preserve"> National Accounts since the establishment of the Palestinian Central Bureau of Statistics. Therefore</w:t>
      </w:r>
      <w:r w:rsidR="00473834">
        <w:t>,</w:t>
      </w:r>
      <w:r>
        <w:t xml:space="preserve"> the preparation of Palestinian national accounts did not face a transition</w:t>
      </w:r>
      <w:r w:rsidR="00473834">
        <w:t>al</w:t>
      </w:r>
      <w:r>
        <w:t xml:space="preserve"> process from the SNA’1968.  SNA’1993 is the latest basic and internationally agreed standards </w:t>
      </w:r>
      <w:proofErr w:type="gramStart"/>
      <w:r>
        <w:t>for  prepar</w:t>
      </w:r>
      <w:r w:rsidR="00473834">
        <w:t>ing</w:t>
      </w:r>
      <w:proofErr w:type="gramEnd"/>
      <w:r w:rsidR="00473834">
        <w:t xml:space="preserve"> </w:t>
      </w:r>
      <w:r>
        <w:t xml:space="preserve"> the accounts that are interrelated and consistent for macroeconomic analysis. It provides a set of concepts, definitions and classifications in the context of integrated accounting purposes, designed to provide data necessary for decision-taking, policy-making and economic analysis.</w:t>
      </w:r>
    </w:p>
    <w:p w:rsidR="00461B79" w:rsidRDefault="00461B79" w:rsidP="00461B79">
      <w:pPr>
        <w:bidi w:val="0"/>
        <w:jc w:val="lowKashida"/>
      </w:pPr>
    </w:p>
    <w:p w:rsidR="00461B79" w:rsidRDefault="0097260F" w:rsidP="00CE2506">
      <w:pPr>
        <w:bidi w:val="0"/>
        <w:jc w:val="lowKashida"/>
        <w:rPr>
          <w:b/>
          <w:bCs/>
        </w:rPr>
      </w:pPr>
      <w:r>
        <w:rPr>
          <w:b/>
          <w:bCs/>
        </w:rPr>
        <w:t>2.</w:t>
      </w:r>
      <w:r w:rsidR="00CE2506">
        <w:rPr>
          <w:b/>
          <w:bCs/>
        </w:rPr>
        <w:t>3</w:t>
      </w:r>
      <w:r w:rsidR="00461B79">
        <w:rPr>
          <w:b/>
          <w:bCs/>
        </w:rPr>
        <w:t xml:space="preserve">.1 Data </w:t>
      </w:r>
      <w:r w:rsidR="00CE2506">
        <w:rPr>
          <w:b/>
          <w:bCs/>
        </w:rPr>
        <w:t>Coverage</w:t>
      </w:r>
    </w:p>
    <w:p w:rsidR="00461B79" w:rsidRDefault="00461B79" w:rsidP="00461B79">
      <w:pPr>
        <w:bidi w:val="0"/>
        <w:jc w:val="lowKashida"/>
      </w:pPr>
      <w:r>
        <w:t xml:space="preserve">Several procedures were adopted to ensure data quality and coverage </w:t>
      </w:r>
      <w:proofErr w:type="gramStart"/>
      <w:r>
        <w:t>in  National</w:t>
      </w:r>
      <w:proofErr w:type="gramEnd"/>
      <w:r>
        <w:t xml:space="preserve"> Accounts Data which can be summarized in the following:</w:t>
      </w:r>
    </w:p>
    <w:p w:rsidR="00461B79" w:rsidRDefault="00461B79" w:rsidP="00461B79">
      <w:pPr>
        <w:numPr>
          <w:ilvl w:val="0"/>
          <w:numId w:val="8"/>
        </w:numPr>
        <w:bidi w:val="0"/>
        <w:ind w:right="0"/>
        <w:jc w:val="lowKashida"/>
      </w:pPr>
      <w:r>
        <w:t>Compiling economic surveys covering all activities except agriculture.</w:t>
      </w:r>
    </w:p>
    <w:p w:rsidR="00461B79" w:rsidRDefault="00461B79" w:rsidP="00461B79">
      <w:pPr>
        <w:numPr>
          <w:ilvl w:val="0"/>
          <w:numId w:val="8"/>
        </w:numPr>
        <w:bidi w:val="0"/>
        <w:ind w:right="0"/>
        <w:jc w:val="lowKashida"/>
      </w:pPr>
      <w:r>
        <w:t>Compiling economic surveys covering the informal sector in construction and transport activities.</w:t>
      </w:r>
    </w:p>
    <w:p w:rsidR="00461B79" w:rsidRDefault="00461B79" w:rsidP="00461B79">
      <w:pPr>
        <w:numPr>
          <w:ilvl w:val="0"/>
          <w:numId w:val="8"/>
        </w:numPr>
        <w:bidi w:val="0"/>
        <w:ind w:right="0"/>
        <w:jc w:val="lowKashida"/>
      </w:pPr>
      <w:r>
        <w:t>Depending on the Population, Housing and Establishment Census 2007 in preparing the per capita data.</w:t>
      </w:r>
    </w:p>
    <w:p w:rsidR="00461B79" w:rsidRDefault="00461B79" w:rsidP="00461B79">
      <w:pPr>
        <w:numPr>
          <w:ilvl w:val="0"/>
          <w:numId w:val="8"/>
        </w:numPr>
        <w:bidi w:val="0"/>
        <w:ind w:right="0"/>
        <w:jc w:val="lowKashida"/>
      </w:pPr>
      <w:r>
        <w:t>Compiling the necessary price deflators for compiling the constant prices data.</w:t>
      </w:r>
    </w:p>
    <w:p w:rsidR="00461B79" w:rsidRDefault="00461B79" w:rsidP="00461B79">
      <w:pPr>
        <w:numPr>
          <w:ilvl w:val="0"/>
          <w:numId w:val="8"/>
        </w:numPr>
        <w:bidi w:val="0"/>
        <w:ind w:right="0"/>
        <w:jc w:val="lowKashida"/>
      </w:pPr>
      <w:r>
        <w:t>Economic surveys results based on the results of the Population, Housing and Establishment census 2007 which provide high coverage for the national accounts indicators which its main source is the economic surveys series.</w:t>
      </w:r>
    </w:p>
    <w:p w:rsidR="00461B79" w:rsidRDefault="00461B79" w:rsidP="00461B79">
      <w:pPr>
        <w:numPr>
          <w:ilvl w:val="0"/>
          <w:numId w:val="8"/>
        </w:numPr>
        <w:bidi w:val="0"/>
        <w:ind w:right="0"/>
        <w:jc w:val="lowKashida"/>
      </w:pPr>
      <w:r>
        <w:t>Better data coverage for the government data especially for those pertaining to the Custom Duties and the VAT based on the accrual basis.</w:t>
      </w:r>
    </w:p>
    <w:p w:rsidR="00461B79" w:rsidRDefault="00461B79" w:rsidP="00461B79">
      <w:pPr>
        <w:numPr>
          <w:ilvl w:val="0"/>
          <w:numId w:val="8"/>
        </w:numPr>
        <w:bidi w:val="0"/>
        <w:ind w:right="0"/>
        <w:jc w:val="lowKashida"/>
      </w:pPr>
      <w:proofErr w:type="gramStart"/>
      <w:r>
        <w:t>Developing  consistency</w:t>
      </w:r>
      <w:proofErr w:type="gramEnd"/>
      <w:r>
        <w:t xml:space="preserve"> of  data after updating them from different sources and comparing the structure of the data (percent of inputs to outputs, percent of compensation of employees to value added, the logic for the growth rates in production and value added).</w:t>
      </w:r>
    </w:p>
    <w:p w:rsidR="00461B79" w:rsidRDefault="00461B79" w:rsidP="00473834">
      <w:pPr>
        <w:numPr>
          <w:ilvl w:val="0"/>
          <w:numId w:val="8"/>
        </w:numPr>
        <w:bidi w:val="0"/>
        <w:ind w:right="0"/>
        <w:jc w:val="lowKashida"/>
      </w:pPr>
      <w:r>
        <w:t xml:space="preserve">Using adjustments </w:t>
      </w:r>
      <w:proofErr w:type="gramStart"/>
      <w:r>
        <w:t>of  Supply</w:t>
      </w:r>
      <w:proofErr w:type="gramEnd"/>
      <w:r>
        <w:t xml:space="preserve"> and Use Tables for the years </w:t>
      </w:r>
      <w:r w:rsidR="00473834">
        <w:t xml:space="preserve">between </w:t>
      </w:r>
      <w:r>
        <w:t>1997-1998 to compar</w:t>
      </w:r>
      <w:r w:rsidR="00473834">
        <w:t xml:space="preserve">ing </w:t>
      </w:r>
      <w:r>
        <w:t xml:space="preserve"> </w:t>
      </w:r>
      <w:r w:rsidR="00473834">
        <w:t xml:space="preserve">data </w:t>
      </w:r>
      <w:r>
        <w:t>consistency .</w:t>
      </w:r>
    </w:p>
    <w:p w:rsidR="00461B79" w:rsidRDefault="00461B79" w:rsidP="00CE2506">
      <w:pPr>
        <w:bidi w:val="0"/>
        <w:jc w:val="lowKashida"/>
        <w:rPr>
          <w:b/>
          <w:bCs/>
        </w:rPr>
      </w:pPr>
      <w:r>
        <w:br/>
      </w:r>
      <w:r w:rsidR="0097260F">
        <w:rPr>
          <w:b/>
          <w:bCs/>
        </w:rPr>
        <w:t>2.</w:t>
      </w:r>
      <w:r w:rsidR="00CE2506">
        <w:rPr>
          <w:b/>
          <w:bCs/>
        </w:rPr>
        <w:t>3</w:t>
      </w:r>
      <w:r>
        <w:rPr>
          <w:b/>
          <w:bCs/>
        </w:rPr>
        <w:t>.2 Data Reliability</w:t>
      </w:r>
    </w:p>
    <w:p w:rsidR="00461B79" w:rsidRDefault="00461B79" w:rsidP="003D0A57">
      <w:pPr>
        <w:bidi w:val="0"/>
        <w:jc w:val="lowKashida"/>
      </w:pPr>
      <w:r>
        <w:t>The compilation of National Accounts relies on a system of data sources (surveys and administrative records) that have a high degree of reliability. In addition to that, the process of compilation</w:t>
      </w:r>
      <w:r w:rsidR="003D0A57">
        <w:t xml:space="preserve">, </w:t>
      </w:r>
      <w:r w:rsidR="00C52ADD">
        <w:t>which depends</w:t>
      </w:r>
      <w:r>
        <w:t xml:space="preserve"> heavily on a computerized system </w:t>
      </w:r>
      <w:r w:rsidR="003D0A57">
        <w:t xml:space="preserve">that </w:t>
      </w:r>
      <w:proofErr w:type="gramStart"/>
      <w:r>
        <w:t>minimizes  human</w:t>
      </w:r>
      <w:proofErr w:type="gramEnd"/>
      <w:r>
        <w:t xml:space="preserve"> errors by applying relevant checks.</w:t>
      </w:r>
    </w:p>
    <w:p w:rsidR="00461B79" w:rsidRDefault="00461B79" w:rsidP="00461B79">
      <w:pPr>
        <w:bidi w:val="0"/>
        <w:jc w:val="lowKashida"/>
      </w:pPr>
    </w:p>
    <w:p w:rsidR="00461B79" w:rsidRDefault="00461B79" w:rsidP="00C52ADD">
      <w:pPr>
        <w:bidi w:val="0"/>
        <w:jc w:val="lowKashida"/>
        <w:rPr>
          <w:lang w:val="en-GB"/>
        </w:rPr>
      </w:pPr>
      <w:r>
        <w:t xml:space="preserve">In addition, data reliability </w:t>
      </w:r>
      <w:proofErr w:type="gramStart"/>
      <w:r>
        <w:t>for  economic</w:t>
      </w:r>
      <w:proofErr w:type="gramEnd"/>
      <w:r>
        <w:t xml:space="preserve"> surveys data were done to ensure consistency of  data, since </w:t>
      </w:r>
      <w:r w:rsidR="00C52ADD">
        <w:t xml:space="preserve">its </w:t>
      </w:r>
      <w:r>
        <w:t xml:space="preserve">reliability depends on the transparencies of owners of  establishments. </w:t>
      </w:r>
    </w:p>
    <w:p w:rsidR="009B22B0" w:rsidRPr="00461B79" w:rsidRDefault="009B22B0" w:rsidP="00461B79">
      <w:pPr>
        <w:bidi w:val="0"/>
        <w:ind w:left="-180"/>
        <w:rPr>
          <w:rFonts w:ascii="Arial" w:hAnsi="Arial" w:cs="Arial"/>
          <w:sz w:val="18"/>
          <w:szCs w:val="18"/>
          <w:lang w:val="en-GB"/>
        </w:rPr>
      </w:pPr>
    </w:p>
    <w:p w:rsidR="009B22B0" w:rsidRDefault="009B22B0" w:rsidP="00461B79">
      <w:pPr>
        <w:pStyle w:val="Title"/>
        <w:rPr>
          <w:lang w:val="en-US" w:bidi="ar-SA"/>
        </w:rPr>
      </w:pPr>
      <w:r>
        <w:rPr>
          <w:lang w:val="en-US" w:bidi="ar-SA"/>
        </w:rPr>
        <w:tab/>
      </w:r>
    </w:p>
    <w:p w:rsidR="009B22B0" w:rsidRDefault="009B22B0" w:rsidP="00B52D09">
      <w:pPr>
        <w:bidi w:val="0"/>
        <w:jc w:val="center"/>
      </w:pPr>
      <w:r>
        <w:br w:type="page"/>
      </w:r>
      <w:r>
        <w:lastRenderedPageBreak/>
        <w:br w:type="page"/>
      </w:r>
      <w:r>
        <w:lastRenderedPageBreak/>
        <w:t xml:space="preserve">Chapter </w:t>
      </w:r>
      <w:r w:rsidR="00B52D09">
        <w:t>Three</w:t>
      </w:r>
    </w:p>
    <w:p w:rsidR="009B22B0" w:rsidRDefault="009B22B0" w:rsidP="00461B79">
      <w:pPr>
        <w:bidi w:val="0"/>
      </w:pPr>
    </w:p>
    <w:p w:rsidR="00461B79" w:rsidRDefault="00461B79" w:rsidP="00461B79">
      <w:pPr>
        <w:pStyle w:val="Heading2"/>
      </w:pPr>
      <w:r>
        <w:t>Concepts and Definitions</w:t>
      </w:r>
    </w:p>
    <w:p w:rsidR="00461B79" w:rsidRDefault="00461B79" w:rsidP="00461B79">
      <w:pPr>
        <w:bidi w:val="0"/>
        <w:rPr>
          <w:rtl/>
        </w:rPr>
      </w:pPr>
    </w:p>
    <w:p w:rsidR="00461B79" w:rsidRPr="00390A33" w:rsidRDefault="00461B79" w:rsidP="00461B79">
      <w:pPr>
        <w:pStyle w:val="Subtitle"/>
        <w:jc w:val="left"/>
        <w:rPr>
          <w:rFonts w:asciiTheme="majorBidi" w:hAnsiTheme="majorBidi" w:cstheme="majorBidi"/>
          <w:sz w:val="24"/>
          <w:szCs w:val="24"/>
        </w:rPr>
      </w:pPr>
      <w:r w:rsidRPr="00390A33">
        <w:rPr>
          <w:rFonts w:asciiTheme="majorBidi" w:hAnsiTheme="majorBidi" w:cstheme="majorBidi"/>
          <w:sz w:val="24"/>
          <w:szCs w:val="24"/>
        </w:rPr>
        <w:t>Glossary of Terms According to the System of National Accounts (SNA) 1993</w:t>
      </w:r>
    </w:p>
    <w:p w:rsidR="00461B79" w:rsidRPr="00390A33" w:rsidRDefault="00461B79" w:rsidP="00461B79">
      <w:pPr>
        <w:pStyle w:val="Subtitle"/>
        <w:jc w:val="left"/>
        <w:rPr>
          <w:rFonts w:asciiTheme="majorBidi" w:hAnsiTheme="majorBidi" w:cstheme="majorBidi"/>
          <w:sz w:val="24"/>
          <w:szCs w:val="24"/>
        </w:rPr>
      </w:pPr>
    </w:p>
    <w:p w:rsidR="00461B79" w:rsidRPr="00390A33" w:rsidRDefault="00461B79" w:rsidP="00461B79">
      <w:pPr>
        <w:numPr>
          <w:ilvl w:val="0"/>
          <w:numId w:val="4"/>
        </w:numPr>
        <w:tabs>
          <w:tab w:val="clear" w:pos="360"/>
        </w:tabs>
        <w:bidi w:val="0"/>
        <w:ind w:right="525"/>
        <w:jc w:val="lowKashida"/>
        <w:rPr>
          <w:rFonts w:asciiTheme="majorBidi" w:hAnsiTheme="majorBidi" w:cstheme="majorBidi"/>
          <w:b/>
          <w:bCs/>
          <w:lang w:eastAsia="en-US"/>
        </w:rPr>
      </w:pPr>
      <w:r w:rsidRPr="00390A33">
        <w:rPr>
          <w:rFonts w:asciiTheme="majorBidi" w:hAnsiTheme="majorBidi" w:cstheme="majorBidi"/>
          <w:b/>
          <w:bCs/>
          <w:lang w:eastAsia="en-US"/>
        </w:rPr>
        <w:t>General terms</w:t>
      </w:r>
    </w:p>
    <w:p w:rsidR="00461B79" w:rsidRPr="00390A33" w:rsidRDefault="00461B79" w:rsidP="00461B79">
      <w:pPr>
        <w:bidi w:val="0"/>
        <w:ind w:left="360"/>
        <w:jc w:val="lowKashida"/>
        <w:rPr>
          <w:rFonts w:asciiTheme="majorBidi" w:hAnsiTheme="majorBidi" w:cstheme="majorBidi"/>
          <w:lang w:eastAsia="en-US"/>
        </w:rPr>
      </w:pPr>
    </w:p>
    <w:p w:rsidR="00461B79" w:rsidRPr="00390A33" w:rsidRDefault="002A5C7B" w:rsidP="00461B79">
      <w:pPr>
        <w:bidi w:val="0"/>
        <w:jc w:val="lowKashida"/>
        <w:rPr>
          <w:rFonts w:asciiTheme="majorBidi" w:hAnsiTheme="majorBidi" w:cstheme="majorBidi"/>
          <w:b/>
          <w:bCs/>
          <w:lang w:eastAsia="en-US"/>
        </w:rPr>
      </w:pPr>
      <w:r w:rsidRPr="00390A33">
        <w:rPr>
          <w:rFonts w:asciiTheme="majorBidi" w:hAnsiTheme="majorBidi" w:cstheme="majorBidi"/>
          <w:b/>
          <w:bCs/>
          <w:lang w:eastAsia="en-US"/>
        </w:rPr>
        <w:t xml:space="preserve">Institutional </w:t>
      </w:r>
      <w:r w:rsidR="00461B79" w:rsidRPr="00390A33">
        <w:rPr>
          <w:rFonts w:asciiTheme="majorBidi" w:hAnsiTheme="majorBidi" w:cstheme="majorBidi"/>
          <w:b/>
          <w:bCs/>
          <w:lang w:eastAsia="en-US"/>
        </w:rPr>
        <w:t xml:space="preserve">Sector: </w:t>
      </w:r>
    </w:p>
    <w:p w:rsidR="00461B79" w:rsidRPr="00390A33" w:rsidRDefault="002A5C7B" w:rsidP="00461B79">
      <w:pPr>
        <w:bidi w:val="0"/>
        <w:jc w:val="lowKashida"/>
        <w:rPr>
          <w:rFonts w:asciiTheme="majorBidi" w:hAnsiTheme="majorBidi" w:cstheme="majorBidi"/>
          <w:b/>
          <w:bCs/>
          <w:lang w:eastAsia="en-US"/>
        </w:rPr>
      </w:pPr>
      <w:r w:rsidRPr="00390A33">
        <w:rPr>
          <w:rFonts w:asciiTheme="majorBidi" w:hAnsiTheme="majorBidi" w:cstheme="majorBidi"/>
        </w:rPr>
        <w:t>The institutional sector is a</w:t>
      </w:r>
      <w:r w:rsidRPr="00390A33">
        <w:rPr>
          <w:rFonts w:asciiTheme="majorBidi" w:hAnsiTheme="majorBidi" w:cstheme="majorBidi"/>
          <w:rtl/>
        </w:rPr>
        <w:t xml:space="preserve"> </w:t>
      </w:r>
      <w:r w:rsidRPr="00390A33">
        <w:rPr>
          <w:rFonts w:asciiTheme="majorBidi" w:hAnsiTheme="majorBidi" w:cstheme="majorBidi"/>
        </w:rPr>
        <w:t>group of resident institutional units have similar legal entity and type of activity and constitute the economy, there are five institutional sectors in the system of national accounts: government; non-profit institutions serving households; financial corporations; households; and non-financial corporations, In addition to the Rest of world sector that has separate account.</w:t>
      </w:r>
    </w:p>
    <w:p w:rsidR="009A3321" w:rsidRDefault="009A3321" w:rsidP="002A5C7B">
      <w:pPr>
        <w:bidi w:val="0"/>
        <w:jc w:val="lowKashida"/>
        <w:rPr>
          <w:rFonts w:asciiTheme="majorBidi" w:hAnsiTheme="majorBidi" w:cstheme="majorBidi"/>
          <w:b/>
          <w:bCs/>
          <w:lang w:eastAsia="en-US"/>
        </w:rPr>
      </w:pPr>
    </w:p>
    <w:p w:rsidR="00461B79" w:rsidRPr="00390A33" w:rsidRDefault="00461B79" w:rsidP="009A3321">
      <w:pPr>
        <w:bidi w:val="0"/>
        <w:jc w:val="lowKashida"/>
        <w:rPr>
          <w:rFonts w:asciiTheme="majorBidi" w:hAnsiTheme="majorBidi" w:cstheme="majorBidi"/>
          <w:lang w:eastAsia="en-US"/>
        </w:rPr>
      </w:pPr>
      <w:r w:rsidRPr="00390A33">
        <w:rPr>
          <w:rFonts w:asciiTheme="majorBidi" w:hAnsiTheme="majorBidi" w:cstheme="majorBidi"/>
          <w:b/>
          <w:bCs/>
          <w:lang w:eastAsia="en-US"/>
        </w:rPr>
        <w:t>Financial corporations</w:t>
      </w:r>
      <w:r w:rsidRPr="00390A33">
        <w:rPr>
          <w:rFonts w:asciiTheme="majorBidi" w:hAnsiTheme="majorBidi" w:cstheme="majorBidi"/>
          <w:lang w:eastAsia="en-US"/>
        </w:rPr>
        <w:t xml:space="preserve">: </w:t>
      </w:r>
      <w:r w:rsidR="002A5C7B" w:rsidRPr="00390A33">
        <w:rPr>
          <w:rFonts w:asciiTheme="majorBidi" w:hAnsiTheme="majorBidi" w:cstheme="majorBidi"/>
        </w:rPr>
        <w:t>This sector consists of all resident corporations or quasi-corporations principally engaged in financial intermediations or in auxiliary financial activities which closely related to financial intermediations such as banks and exchangers whom have separate financial records for their activities.</w:t>
      </w:r>
    </w:p>
    <w:p w:rsidR="00461B79" w:rsidRPr="00390A33" w:rsidRDefault="00461B79" w:rsidP="00461B79">
      <w:pPr>
        <w:bidi w:val="0"/>
        <w:jc w:val="lowKashida"/>
        <w:rPr>
          <w:rFonts w:asciiTheme="majorBidi" w:hAnsiTheme="majorBidi" w:cstheme="majorBidi"/>
          <w:b/>
          <w:bCs/>
          <w:lang w:eastAsia="en-US"/>
        </w:rPr>
      </w:pPr>
    </w:p>
    <w:p w:rsidR="00461B79" w:rsidRPr="00390A33" w:rsidRDefault="00461B79" w:rsidP="002A5C7B">
      <w:pPr>
        <w:bidi w:val="0"/>
        <w:jc w:val="lowKashida"/>
        <w:rPr>
          <w:rFonts w:asciiTheme="majorBidi" w:hAnsiTheme="majorBidi" w:cstheme="majorBidi"/>
          <w:lang w:eastAsia="en-US"/>
        </w:rPr>
      </w:pPr>
      <w:r w:rsidRPr="00390A33">
        <w:rPr>
          <w:rFonts w:asciiTheme="majorBidi" w:hAnsiTheme="majorBidi" w:cstheme="majorBidi"/>
          <w:b/>
          <w:bCs/>
          <w:lang w:eastAsia="en-US"/>
        </w:rPr>
        <w:t>Non-financial corporations:</w:t>
      </w:r>
      <w:r w:rsidRPr="00390A33">
        <w:rPr>
          <w:rFonts w:asciiTheme="majorBidi" w:hAnsiTheme="majorBidi" w:cstheme="majorBidi"/>
          <w:lang w:eastAsia="en-US"/>
        </w:rPr>
        <w:t xml:space="preserve"> </w:t>
      </w:r>
      <w:r w:rsidR="002A5C7B" w:rsidRPr="00390A33">
        <w:rPr>
          <w:rFonts w:asciiTheme="majorBidi" w:hAnsiTheme="majorBidi" w:cstheme="majorBidi"/>
        </w:rPr>
        <w:t>This sector includes all other institutional units, which are principally engaged in the production of market goods and services. Producers of this sector are distinguished from the family sector by keeping a complete set of accounts. A large portion of the value added in the rest of the activities is contributed by this sector.</w:t>
      </w:r>
    </w:p>
    <w:p w:rsidR="00461B79" w:rsidRPr="00390A33" w:rsidRDefault="00461B79" w:rsidP="00461B79">
      <w:pPr>
        <w:bidi w:val="0"/>
        <w:jc w:val="lowKashida"/>
        <w:rPr>
          <w:rFonts w:asciiTheme="majorBidi" w:hAnsiTheme="majorBidi" w:cstheme="majorBidi"/>
          <w:b/>
          <w:bCs/>
          <w:lang w:eastAsia="en-US"/>
        </w:rPr>
      </w:pPr>
    </w:p>
    <w:p w:rsidR="00461B79" w:rsidRPr="00390A33" w:rsidRDefault="00461B79" w:rsidP="008C2305">
      <w:pPr>
        <w:bidi w:val="0"/>
        <w:jc w:val="lowKashida"/>
        <w:rPr>
          <w:rFonts w:asciiTheme="majorBidi" w:hAnsiTheme="majorBidi" w:cstheme="majorBidi"/>
          <w:lang w:eastAsia="en-US"/>
        </w:rPr>
      </w:pPr>
      <w:r w:rsidRPr="00390A33">
        <w:rPr>
          <w:rFonts w:asciiTheme="majorBidi" w:hAnsiTheme="majorBidi" w:cstheme="majorBidi"/>
          <w:b/>
          <w:bCs/>
          <w:lang w:eastAsia="en-US"/>
        </w:rPr>
        <w:t>Government:</w:t>
      </w:r>
      <w:r w:rsidR="002A5C7B" w:rsidRPr="00390A33">
        <w:rPr>
          <w:rFonts w:asciiTheme="majorBidi" w:hAnsiTheme="majorBidi" w:cstheme="majorBidi"/>
        </w:rPr>
        <w:t xml:space="preserve"> A government is a legal entity established by political processes which have legislative, judicial or executive authority over other institutional units within a given area. The government in Palestine has two levels: local and central.</w:t>
      </w:r>
      <w:r w:rsidRPr="00390A33">
        <w:rPr>
          <w:rStyle w:val="FootnoteReference"/>
          <w:rFonts w:asciiTheme="majorBidi" w:eastAsia="SimSun" w:hAnsiTheme="majorBidi" w:cstheme="majorBidi"/>
        </w:rPr>
        <w:footnoteReference w:id="1"/>
      </w:r>
    </w:p>
    <w:p w:rsidR="00461B79" w:rsidRPr="00390A33" w:rsidRDefault="00461B79" w:rsidP="00461B79">
      <w:pPr>
        <w:bidi w:val="0"/>
        <w:jc w:val="lowKashida"/>
        <w:rPr>
          <w:rFonts w:asciiTheme="majorBidi" w:hAnsiTheme="majorBidi" w:cstheme="majorBidi"/>
          <w:b/>
          <w:bCs/>
          <w:lang w:eastAsia="en-US"/>
        </w:rPr>
      </w:pPr>
    </w:p>
    <w:p w:rsidR="00461B79" w:rsidRPr="00390A33" w:rsidRDefault="00461B79" w:rsidP="002A5C7B">
      <w:pPr>
        <w:bidi w:val="0"/>
        <w:jc w:val="lowKashida"/>
        <w:rPr>
          <w:rFonts w:asciiTheme="majorBidi" w:hAnsiTheme="majorBidi" w:cstheme="majorBidi"/>
          <w:b/>
          <w:bCs/>
          <w:lang w:eastAsia="en-US"/>
        </w:rPr>
      </w:pPr>
      <w:r w:rsidRPr="00390A33">
        <w:rPr>
          <w:rFonts w:asciiTheme="majorBidi" w:hAnsiTheme="majorBidi" w:cstheme="majorBidi"/>
          <w:b/>
          <w:bCs/>
          <w:lang w:eastAsia="en-US"/>
        </w:rPr>
        <w:t>Non-profit institutions serving households (NPISHs):</w:t>
      </w:r>
      <w:r w:rsidRPr="00390A33">
        <w:rPr>
          <w:rFonts w:asciiTheme="majorBidi" w:hAnsiTheme="majorBidi" w:cstheme="majorBidi"/>
          <w:lang w:eastAsia="en-US"/>
        </w:rPr>
        <w:t xml:space="preserve"> </w:t>
      </w:r>
      <w:r w:rsidR="002A5C7B" w:rsidRPr="00390A33">
        <w:rPr>
          <w:rFonts w:asciiTheme="majorBidi" w:hAnsiTheme="majorBidi" w:cstheme="majorBidi"/>
        </w:rPr>
        <w:t xml:space="preserve">It defined as non-profit resident institutions which do not generate income </w:t>
      </w:r>
      <w:proofErr w:type="gramStart"/>
      <w:r w:rsidR="002A5C7B" w:rsidRPr="00390A33">
        <w:rPr>
          <w:rFonts w:asciiTheme="majorBidi" w:hAnsiTheme="majorBidi" w:cstheme="majorBidi"/>
        </w:rPr>
        <w:t>nor</w:t>
      </w:r>
      <w:proofErr w:type="gramEnd"/>
      <w:r w:rsidR="002A5C7B" w:rsidRPr="00390A33">
        <w:rPr>
          <w:rFonts w:asciiTheme="majorBidi" w:hAnsiTheme="majorBidi" w:cstheme="majorBidi"/>
        </w:rPr>
        <w:t xml:space="preserve"> profit for those entities that own them. They may be divided into three groups: those serving businesses (e.g. a chamber of commerce which is grouped in the non-financial corporation sector); those which form part of the government sector (e.g. a government-owned hospital) and non-profit institutions serving households. The latter consists mainly of trade unions, professional unions, churches, charities and privately financed aid organizations.</w:t>
      </w:r>
    </w:p>
    <w:p w:rsidR="00461B79" w:rsidRPr="00390A33" w:rsidRDefault="00461B79" w:rsidP="002A5C7B">
      <w:pPr>
        <w:bidi w:val="0"/>
        <w:jc w:val="lowKashida"/>
        <w:rPr>
          <w:rFonts w:asciiTheme="majorBidi" w:hAnsiTheme="majorBidi" w:cstheme="majorBidi"/>
          <w:b/>
          <w:bCs/>
          <w:lang w:eastAsia="en-US"/>
        </w:rPr>
      </w:pPr>
      <w:r w:rsidRPr="00390A33">
        <w:rPr>
          <w:rFonts w:asciiTheme="majorBidi" w:hAnsiTheme="majorBidi" w:cstheme="majorBidi"/>
          <w:b/>
          <w:bCs/>
          <w:lang w:eastAsia="en-US"/>
        </w:rPr>
        <w:t>Household:</w:t>
      </w:r>
      <w:r w:rsidRPr="00390A33">
        <w:rPr>
          <w:rFonts w:asciiTheme="majorBidi" w:hAnsiTheme="majorBidi" w:cstheme="majorBidi"/>
          <w:lang w:eastAsia="en-US"/>
        </w:rPr>
        <w:t xml:space="preserve"> </w:t>
      </w:r>
      <w:r w:rsidR="002A5C7B" w:rsidRPr="00390A33">
        <w:rPr>
          <w:rFonts w:asciiTheme="majorBidi" w:hAnsiTheme="majorBidi" w:cstheme="majorBidi"/>
        </w:rPr>
        <w:t>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All economic activity taking place within the production boundary and not performed by an entity maintaining a complete set of accounts is considered to be undertaken in the household sector.</w:t>
      </w:r>
    </w:p>
    <w:p w:rsidR="00461B79" w:rsidRPr="00390A33" w:rsidRDefault="00461B79" w:rsidP="00461B79">
      <w:pPr>
        <w:bidi w:val="0"/>
        <w:jc w:val="lowKashida"/>
        <w:rPr>
          <w:rFonts w:asciiTheme="majorBidi" w:hAnsiTheme="majorBidi" w:cstheme="majorBidi"/>
        </w:rPr>
      </w:pPr>
    </w:p>
    <w:p w:rsidR="00461B79" w:rsidRPr="00390A33" w:rsidRDefault="00461B79" w:rsidP="00461B79">
      <w:pPr>
        <w:bidi w:val="0"/>
        <w:jc w:val="lowKashida"/>
        <w:rPr>
          <w:rFonts w:asciiTheme="majorBidi" w:hAnsiTheme="majorBidi" w:cstheme="majorBidi"/>
          <w:b/>
          <w:bCs/>
        </w:rPr>
      </w:pPr>
      <w:r w:rsidRPr="00390A33">
        <w:rPr>
          <w:rFonts w:asciiTheme="majorBidi" w:hAnsiTheme="majorBidi" w:cstheme="majorBidi"/>
          <w:b/>
          <w:bCs/>
        </w:rPr>
        <w:t>Residency:</w:t>
      </w:r>
    </w:p>
    <w:p w:rsidR="00461B79" w:rsidRPr="00390A33" w:rsidRDefault="00461B79" w:rsidP="00461B79">
      <w:pPr>
        <w:bidi w:val="0"/>
        <w:jc w:val="lowKashida"/>
        <w:rPr>
          <w:rFonts w:asciiTheme="majorBidi" w:hAnsiTheme="majorBidi" w:cstheme="majorBidi"/>
          <w:lang w:val="en-GB" w:eastAsia="en-US"/>
        </w:rPr>
      </w:pPr>
      <w:r w:rsidRPr="00390A33">
        <w:rPr>
          <w:rFonts w:asciiTheme="majorBidi" w:hAnsiTheme="majorBidi" w:cstheme="majorBidi"/>
          <w:lang w:eastAsia="en-US"/>
        </w:rPr>
        <w:t>Individuals and establishments are residents in a country when they have a center of economic interest in the economic territory of that country. The concept of residence used here is not based on nationality or legal criteria (although it may be similar to concepts of residence).</w:t>
      </w:r>
      <w:r w:rsidRPr="00390A33">
        <w:rPr>
          <w:rFonts w:asciiTheme="majorBidi" w:hAnsiTheme="majorBidi" w:cstheme="majorBidi"/>
          <w:rtl/>
          <w:lang w:val="en-GB" w:eastAsia="en-US"/>
        </w:rPr>
        <w:t>  </w:t>
      </w:r>
    </w:p>
    <w:p w:rsidR="00461B79" w:rsidRPr="00390A33" w:rsidRDefault="00461B79" w:rsidP="00461B79">
      <w:pPr>
        <w:bidi w:val="0"/>
        <w:jc w:val="lowKashida"/>
        <w:rPr>
          <w:rFonts w:asciiTheme="majorBidi" w:hAnsiTheme="majorBidi" w:cstheme="majorBidi"/>
          <w:rtl/>
          <w:lang w:val="en-GB" w:eastAsia="en-US"/>
        </w:rPr>
      </w:pPr>
    </w:p>
    <w:p w:rsidR="00461B79" w:rsidRPr="00390A33" w:rsidRDefault="00461B79" w:rsidP="00461B79">
      <w:pPr>
        <w:bidi w:val="0"/>
        <w:jc w:val="lowKashida"/>
        <w:rPr>
          <w:rFonts w:asciiTheme="majorBidi" w:hAnsiTheme="majorBidi" w:cstheme="majorBidi"/>
          <w:rtl/>
          <w:lang w:val="en-GB" w:eastAsia="en-US"/>
        </w:rPr>
      </w:pPr>
      <w:r w:rsidRPr="00390A33">
        <w:rPr>
          <w:rFonts w:asciiTheme="majorBidi" w:hAnsiTheme="majorBidi" w:cstheme="majorBidi"/>
          <w:lang w:eastAsia="en-US"/>
        </w:rPr>
        <w:lastRenderedPageBreak/>
        <w:t xml:space="preserve">An individual is said to be resident within the economic territory of a country when such individual maintains a center of economic interest in that territory - that is, when this individual engages, or intends to engage, in economic activities or transactions on a significant scale either indefinitely or over a long period of time, usually interpreted as one year. </w:t>
      </w:r>
      <w:r w:rsidRPr="00390A33">
        <w:rPr>
          <w:rFonts w:asciiTheme="majorBidi" w:hAnsiTheme="majorBidi" w:cstheme="majorBidi"/>
          <w:rtl/>
          <w:lang w:val="en-GB" w:eastAsia="en-US"/>
        </w:rPr>
        <w:t>  </w:t>
      </w:r>
    </w:p>
    <w:p w:rsidR="00461B79" w:rsidRPr="00390A33" w:rsidRDefault="00461B79" w:rsidP="00461B79">
      <w:pPr>
        <w:bidi w:val="0"/>
        <w:jc w:val="lowKashida"/>
        <w:rPr>
          <w:rFonts w:asciiTheme="majorBidi" w:hAnsiTheme="majorBidi" w:cstheme="majorBidi"/>
          <w:lang w:eastAsia="en-US"/>
        </w:rPr>
      </w:pPr>
    </w:p>
    <w:p w:rsidR="00461B79" w:rsidRPr="00390A33" w:rsidRDefault="00461B79" w:rsidP="00461B79">
      <w:pPr>
        <w:bidi w:val="0"/>
        <w:jc w:val="lowKashida"/>
        <w:rPr>
          <w:rFonts w:asciiTheme="majorBidi" w:hAnsiTheme="majorBidi" w:cstheme="majorBidi"/>
          <w:lang w:eastAsia="en-US"/>
        </w:rPr>
      </w:pPr>
      <w:r w:rsidRPr="00390A33">
        <w:rPr>
          <w:rFonts w:asciiTheme="majorBidi" w:hAnsiTheme="majorBidi" w:cstheme="majorBidi"/>
          <w:lang w:eastAsia="en-US"/>
        </w:rPr>
        <w:t xml:space="preserve">The rule excludes students, sick people, and foreign diplomats and international organizations other than country’s residents where such institutions exist. Individuals in the three aforementioned groups are considered non-residents in the economy but residents in their own country regardless of the length of the period of their stay. </w:t>
      </w:r>
    </w:p>
    <w:p w:rsidR="00461B79" w:rsidRPr="00390A33" w:rsidRDefault="00461B79" w:rsidP="00461B79">
      <w:pPr>
        <w:bidi w:val="0"/>
        <w:jc w:val="lowKashida"/>
        <w:rPr>
          <w:rFonts w:asciiTheme="majorBidi" w:hAnsiTheme="majorBidi" w:cstheme="majorBidi"/>
          <w:lang w:eastAsia="en-US"/>
        </w:rPr>
      </w:pPr>
    </w:p>
    <w:p w:rsidR="00461B79" w:rsidRPr="00390A33" w:rsidRDefault="00461B79" w:rsidP="00461B79">
      <w:pPr>
        <w:bidi w:val="0"/>
        <w:jc w:val="lowKashida"/>
        <w:rPr>
          <w:rFonts w:asciiTheme="majorBidi" w:hAnsiTheme="majorBidi" w:cstheme="majorBidi"/>
          <w:lang w:eastAsia="en-US"/>
        </w:rPr>
      </w:pPr>
      <w:r w:rsidRPr="00390A33">
        <w:rPr>
          <w:rFonts w:asciiTheme="majorBidi" w:hAnsiTheme="majorBidi" w:cstheme="majorBidi"/>
          <w:lang w:eastAsia="en-US"/>
        </w:rPr>
        <w:t xml:space="preserve">Establishments are always considered residents in the country where they operate. This is in line with the residency concept, which defines residency as the center of economic activity. </w:t>
      </w:r>
    </w:p>
    <w:p w:rsidR="00461B79" w:rsidRPr="00390A33" w:rsidRDefault="00461B79" w:rsidP="00461B79">
      <w:pPr>
        <w:bidi w:val="0"/>
        <w:jc w:val="lowKashida"/>
        <w:rPr>
          <w:rFonts w:asciiTheme="majorBidi" w:hAnsiTheme="majorBidi" w:cstheme="majorBidi"/>
          <w:lang w:eastAsia="en-US"/>
        </w:rPr>
      </w:pPr>
    </w:p>
    <w:p w:rsidR="00461B79" w:rsidRPr="00390A33" w:rsidRDefault="00461B79" w:rsidP="00461B79">
      <w:pPr>
        <w:bidi w:val="0"/>
        <w:jc w:val="lowKashida"/>
        <w:rPr>
          <w:rFonts w:asciiTheme="majorBidi" w:hAnsiTheme="majorBidi" w:cstheme="majorBidi"/>
          <w:lang w:eastAsia="en-US"/>
        </w:rPr>
      </w:pPr>
      <w:r w:rsidRPr="00390A33">
        <w:rPr>
          <w:rFonts w:asciiTheme="majorBidi" w:hAnsiTheme="majorBidi" w:cstheme="majorBidi"/>
          <w:lang w:eastAsia="en-US"/>
        </w:rPr>
        <w:t>The only exception here is concerning establishments that operate movable equipment such as fishermen who stay in the regional water of a certain country for a limited period in time.</w:t>
      </w:r>
    </w:p>
    <w:p w:rsidR="00461B79" w:rsidRPr="00390A33" w:rsidRDefault="00461B79" w:rsidP="00461B79">
      <w:pPr>
        <w:bidi w:val="0"/>
        <w:jc w:val="lowKashida"/>
        <w:rPr>
          <w:rFonts w:asciiTheme="majorBidi" w:hAnsiTheme="majorBidi" w:cstheme="majorBidi"/>
          <w:lang w:eastAsia="en-US"/>
        </w:rPr>
      </w:pPr>
    </w:p>
    <w:p w:rsidR="00461B79" w:rsidRPr="00390A33" w:rsidRDefault="00461B79" w:rsidP="00461B79">
      <w:pPr>
        <w:bidi w:val="0"/>
        <w:jc w:val="lowKashida"/>
        <w:rPr>
          <w:rFonts w:asciiTheme="majorBidi" w:hAnsiTheme="majorBidi" w:cstheme="majorBidi"/>
          <w:lang w:eastAsia="en-US"/>
        </w:rPr>
      </w:pPr>
      <w:r w:rsidRPr="00390A33">
        <w:rPr>
          <w:rFonts w:asciiTheme="majorBidi" w:hAnsiTheme="majorBidi" w:cstheme="majorBidi"/>
          <w:lang w:eastAsia="en-US"/>
        </w:rPr>
        <w:t xml:space="preserve"> Companies that hold limited contracts are also excluded since they stay for the period of the contract with no intention to extend their stay once the project is over. These companies are considered residents in the economy of the country as long as they do not keep independent accounts of their overseas activities. Otherwise, they are considered residents in the country where they keep independent accounts of their activities and pay taxes and possess permission to operate; then their activity is considered resident in the country in question.</w:t>
      </w:r>
    </w:p>
    <w:p w:rsidR="00461B79" w:rsidRPr="00390A33" w:rsidRDefault="00461B79" w:rsidP="00461B79">
      <w:pPr>
        <w:bidi w:val="0"/>
        <w:jc w:val="lowKashida"/>
        <w:rPr>
          <w:rFonts w:asciiTheme="majorBidi" w:hAnsiTheme="majorBidi" w:cstheme="majorBidi"/>
          <w:lang w:eastAsia="en-US"/>
        </w:rPr>
      </w:pPr>
      <w:r w:rsidRPr="00390A33">
        <w:rPr>
          <w:rFonts w:asciiTheme="majorBidi" w:hAnsiTheme="majorBidi" w:cstheme="majorBidi"/>
          <w:lang w:eastAsia="en-US"/>
        </w:rPr>
        <w:t xml:space="preserve">         </w:t>
      </w:r>
    </w:p>
    <w:p w:rsidR="00461B79" w:rsidRPr="00390A33" w:rsidRDefault="00461B79" w:rsidP="00461B79">
      <w:pPr>
        <w:numPr>
          <w:ilvl w:val="0"/>
          <w:numId w:val="4"/>
        </w:numPr>
        <w:bidi w:val="0"/>
        <w:jc w:val="lowKashida"/>
        <w:rPr>
          <w:rFonts w:asciiTheme="majorBidi" w:hAnsiTheme="majorBidi" w:cstheme="majorBidi"/>
          <w:b/>
          <w:bCs/>
          <w:lang w:eastAsia="en-US"/>
        </w:rPr>
      </w:pPr>
      <w:r w:rsidRPr="00390A33">
        <w:rPr>
          <w:rFonts w:asciiTheme="majorBidi" w:hAnsiTheme="majorBidi" w:cstheme="majorBidi"/>
          <w:b/>
          <w:bCs/>
          <w:lang w:eastAsia="en-US"/>
        </w:rPr>
        <w:t>Production concepts:</w:t>
      </w:r>
    </w:p>
    <w:p w:rsidR="00461B79" w:rsidRPr="00390A33" w:rsidRDefault="00461B79" w:rsidP="00461B79">
      <w:pPr>
        <w:bidi w:val="0"/>
        <w:jc w:val="lowKashida"/>
        <w:rPr>
          <w:rFonts w:asciiTheme="majorBidi" w:hAnsiTheme="majorBidi" w:cstheme="majorBidi"/>
          <w:b/>
          <w:bCs/>
          <w:lang w:eastAsia="en-US"/>
        </w:rPr>
      </w:pPr>
    </w:p>
    <w:p w:rsidR="00461B79" w:rsidRPr="00390A33" w:rsidRDefault="00461B79" w:rsidP="00461B79">
      <w:pPr>
        <w:bidi w:val="0"/>
        <w:jc w:val="lowKashida"/>
        <w:rPr>
          <w:rFonts w:asciiTheme="majorBidi" w:hAnsiTheme="majorBidi" w:cstheme="majorBidi"/>
          <w:b/>
          <w:bCs/>
          <w:lang w:eastAsia="en-US"/>
        </w:rPr>
      </w:pPr>
      <w:r w:rsidRPr="00390A33">
        <w:rPr>
          <w:rFonts w:asciiTheme="majorBidi" w:hAnsiTheme="majorBidi" w:cstheme="majorBidi"/>
          <w:b/>
          <w:bCs/>
          <w:lang w:eastAsia="en-US"/>
        </w:rPr>
        <w:t xml:space="preserve">Production: </w:t>
      </w:r>
    </w:p>
    <w:p w:rsidR="00461B79" w:rsidRPr="00390A33" w:rsidRDefault="00D7114B" w:rsidP="00461B79">
      <w:pPr>
        <w:bidi w:val="0"/>
        <w:jc w:val="lowKashida"/>
        <w:rPr>
          <w:rFonts w:asciiTheme="majorBidi" w:hAnsiTheme="majorBidi" w:cstheme="majorBidi"/>
          <w:b/>
          <w:bCs/>
          <w:lang w:eastAsia="en-US"/>
        </w:rPr>
      </w:pPr>
      <w:proofErr w:type="gramStart"/>
      <w:r w:rsidRPr="00390A33">
        <w:rPr>
          <w:rFonts w:asciiTheme="majorBidi" w:hAnsiTheme="majorBidi" w:cstheme="majorBidi"/>
        </w:rPr>
        <w:t>the</w:t>
      </w:r>
      <w:proofErr w:type="gramEnd"/>
      <w:r w:rsidRPr="00390A33">
        <w:rPr>
          <w:rFonts w:asciiTheme="majorBidi" w:hAnsiTheme="majorBidi" w:cstheme="majorBidi"/>
        </w:rPr>
        <w:t xml:space="preserve"> value of the final products of goods and services produced by a certain establishment capable of being provided to other units though they can be self-consumed or for the purposes of self gross fixed capital formation. Production includes two categories: Final products and the so-called               under-operating products, which means products that take a long time to produce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establishment works and winter crops.</w:t>
      </w:r>
    </w:p>
    <w:p w:rsidR="009A3321" w:rsidRDefault="009A3321" w:rsidP="00F228E5">
      <w:pPr>
        <w:pStyle w:val="BodyTextIndent"/>
        <w:ind w:left="0" w:right="720"/>
        <w:rPr>
          <w:rFonts w:asciiTheme="majorBidi" w:hAnsiTheme="majorBidi" w:cstheme="majorBidi"/>
          <w:b/>
          <w:bCs/>
        </w:rPr>
      </w:pPr>
    </w:p>
    <w:p w:rsidR="00461B79" w:rsidRPr="00390A33" w:rsidRDefault="00461B79" w:rsidP="00F228E5">
      <w:pPr>
        <w:pStyle w:val="BodyTextIndent"/>
        <w:ind w:left="0" w:right="720"/>
        <w:rPr>
          <w:rFonts w:asciiTheme="majorBidi" w:hAnsiTheme="majorBidi" w:cstheme="majorBidi"/>
        </w:rPr>
      </w:pPr>
      <w:r w:rsidRPr="00390A33">
        <w:rPr>
          <w:rFonts w:asciiTheme="majorBidi" w:hAnsiTheme="majorBidi" w:cstheme="majorBidi"/>
          <w:b/>
          <w:bCs/>
        </w:rPr>
        <w:t xml:space="preserve">Market outputs: </w:t>
      </w:r>
      <w:r w:rsidR="00F228E5" w:rsidRPr="00390A33">
        <w:rPr>
          <w:rFonts w:asciiTheme="majorBidi" w:hAnsiTheme="majorBidi" w:cstheme="majorBidi"/>
        </w:rPr>
        <w:t>It includes goods and services sold at market prices such as most of the goods and services sold at warehouses and retail sail stores</w:t>
      </w:r>
    </w:p>
    <w:p w:rsidR="009A3321" w:rsidRPr="009A3321" w:rsidRDefault="009A3321" w:rsidP="00F228E5">
      <w:pPr>
        <w:pStyle w:val="BodyTextIndent"/>
        <w:ind w:left="0" w:right="720"/>
        <w:rPr>
          <w:rFonts w:asciiTheme="majorBidi" w:hAnsiTheme="majorBidi" w:cstheme="majorBidi"/>
          <w:b/>
          <w:bCs/>
          <w:sz w:val="18"/>
          <w:szCs w:val="18"/>
        </w:rPr>
      </w:pPr>
    </w:p>
    <w:p w:rsidR="00461B79" w:rsidRPr="00390A33" w:rsidRDefault="00461B79" w:rsidP="00F228E5">
      <w:pPr>
        <w:pStyle w:val="BodyTextIndent"/>
        <w:ind w:left="0" w:right="720"/>
        <w:rPr>
          <w:rFonts w:asciiTheme="majorBidi" w:hAnsiTheme="majorBidi" w:cstheme="majorBidi"/>
        </w:rPr>
      </w:pPr>
      <w:r w:rsidRPr="00390A33">
        <w:rPr>
          <w:rFonts w:asciiTheme="majorBidi" w:hAnsiTheme="majorBidi" w:cstheme="majorBidi"/>
          <w:b/>
          <w:bCs/>
        </w:rPr>
        <w:t>Outputs of private account:</w:t>
      </w:r>
      <w:r w:rsidRPr="00390A33">
        <w:rPr>
          <w:rFonts w:asciiTheme="majorBidi" w:hAnsiTheme="majorBidi" w:cstheme="majorBidi"/>
        </w:rPr>
        <w:t xml:space="preserve"> </w:t>
      </w:r>
      <w:r w:rsidR="00F228E5" w:rsidRPr="00390A33">
        <w:rPr>
          <w:rFonts w:asciiTheme="majorBidi" w:hAnsiTheme="majorBidi" w:cstheme="majorBidi"/>
        </w:rPr>
        <w:t>It includes goods and services consumed at the same production unit such as agricultural products, which are produced and consumed at the same farm.</w:t>
      </w:r>
    </w:p>
    <w:p w:rsidR="009A3321" w:rsidRPr="009A3321" w:rsidRDefault="009A3321" w:rsidP="00F228E5">
      <w:pPr>
        <w:pStyle w:val="BodyTextIndent"/>
        <w:ind w:left="0" w:right="720"/>
        <w:rPr>
          <w:rFonts w:asciiTheme="majorBidi" w:hAnsiTheme="majorBidi" w:cstheme="majorBidi"/>
          <w:b/>
          <w:bCs/>
          <w:sz w:val="18"/>
          <w:szCs w:val="18"/>
        </w:rPr>
      </w:pPr>
    </w:p>
    <w:p w:rsidR="00461B79" w:rsidRPr="00390A33" w:rsidRDefault="00461B79" w:rsidP="00F228E5">
      <w:pPr>
        <w:pStyle w:val="BodyTextIndent"/>
        <w:ind w:left="0" w:right="720"/>
        <w:rPr>
          <w:rFonts w:asciiTheme="majorBidi" w:hAnsiTheme="majorBidi" w:cstheme="majorBidi"/>
        </w:rPr>
      </w:pPr>
      <w:r w:rsidRPr="00390A33">
        <w:rPr>
          <w:rFonts w:asciiTheme="majorBidi" w:hAnsiTheme="majorBidi" w:cstheme="majorBidi"/>
          <w:b/>
          <w:bCs/>
        </w:rPr>
        <w:t>Other non-market outputs:</w:t>
      </w:r>
      <w:r w:rsidRPr="00390A33">
        <w:rPr>
          <w:rFonts w:asciiTheme="majorBidi" w:hAnsiTheme="majorBidi" w:cstheme="majorBidi"/>
        </w:rPr>
        <w:t xml:space="preserve"> </w:t>
      </w:r>
      <w:r w:rsidR="00F228E5" w:rsidRPr="00390A33">
        <w:rPr>
          <w:rFonts w:asciiTheme="majorBidi" w:hAnsiTheme="majorBidi" w:cstheme="majorBidi"/>
        </w:rPr>
        <w:t>These are the goods and services produced by the government or non-profit institutions that are given free of charge or for minimal prices, including educational services provided by the government.</w:t>
      </w:r>
    </w:p>
    <w:p w:rsidR="003778FD" w:rsidRDefault="003778FD" w:rsidP="00CE2506">
      <w:pPr>
        <w:bidi w:val="0"/>
        <w:jc w:val="lowKashida"/>
        <w:rPr>
          <w:rFonts w:asciiTheme="majorBidi" w:hAnsiTheme="majorBidi" w:cstheme="majorBidi"/>
          <w:b/>
          <w:bCs/>
          <w:lang w:eastAsia="en-US"/>
        </w:rPr>
      </w:pPr>
    </w:p>
    <w:p w:rsidR="00461B79" w:rsidRPr="003778FD" w:rsidRDefault="00461B79" w:rsidP="003778FD">
      <w:pPr>
        <w:bidi w:val="0"/>
        <w:jc w:val="lowKashida"/>
        <w:rPr>
          <w:rFonts w:asciiTheme="majorBidi" w:hAnsiTheme="majorBidi" w:cstheme="majorBidi"/>
          <w:b/>
          <w:bCs/>
          <w:lang w:eastAsia="en-US"/>
        </w:rPr>
      </w:pPr>
      <w:r w:rsidRPr="003778FD">
        <w:rPr>
          <w:rFonts w:asciiTheme="majorBidi" w:hAnsiTheme="majorBidi" w:cstheme="majorBidi"/>
          <w:b/>
          <w:bCs/>
          <w:lang w:eastAsia="en-US"/>
        </w:rPr>
        <w:t>Financial services:</w:t>
      </w:r>
    </w:p>
    <w:p w:rsidR="003778FD" w:rsidRPr="003778FD" w:rsidRDefault="003778FD" w:rsidP="00461B79">
      <w:pPr>
        <w:bidi w:val="0"/>
        <w:jc w:val="lowKashida"/>
        <w:rPr>
          <w:rFonts w:asciiTheme="majorBidi" w:hAnsiTheme="majorBidi" w:cstheme="majorBidi"/>
          <w:b/>
          <w:bCs/>
          <w:lang w:eastAsia="en-US"/>
        </w:rPr>
      </w:pPr>
      <w:r w:rsidRPr="003778FD">
        <w:rPr>
          <w:rFonts w:asciiTheme="majorBidi" w:hAnsiTheme="majorBidi" w:cstheme="majorBidi"/>
        </w:rPr>
        <w:t xml:space="preserve">It is the output of the financial services which can be measured by the total cost of actual and calculated service. This is necessary because financial institutions gain earnings by the </w:t>
      </w:r>
      <w:r w:rsidRPr="003778FD">
        <w:rPr>
          <w:rFonts w:asciiTheme="majorBidi" w:hAnsiTheme="majorBidi" w:cstheme="majorBidi"/>
        </w:rPr>
        <w:lastRenderedPageBreak/>
        <w:t>difference between interests on loans and deposits.  As the calculation of the cost of the actual service is carried out directly, the calculation of the calculated service (Services of financial intermediation measured indirectly FISIM) is more complicated.</w:t>
      </w:r>
    </w:p>
    <w:p w:rsidR="003778FD" w:rsidRDefault="003778FD" w:rsidP="003778FD">
      <w:pPr>
        <w:bidi w:val="0"/>
        <w:jc w:val="lowKashida"/>
        <w:rPr>
          <w:rFonts w:asciiTheme="majorBidi" w:hAnsiTheme="majorBidi" w:cstheme="majorBidi"/>
          <w:b/>
          <w:bCs/>
          <w:lang w:eastAsia="en-US"/>
        </w:rPr>
      </w:pPr>
    </w:p>
    <w:p w:rsidR="00461B79" w:rsidRPr="00390A33" w:rsidRDefault="00461B79" w:rsidP="003778FD">
      <w:pPr>
        <w:bidi w:val="0"/>
        <w:jc w:val="lowKashida"/>
        <w:rPr>
          <w:rFonts w:asciiTheme="majorBidi" w:hAnsiTheme="majorBidi" w:cstheme="majorBidi"/>
          <w:b/>
          <w:bCs/>
          <w:lang w:eastAsia="en-US"/>
        </w:rPr>
      </w:pPr>
      <w:r w:rsidRPr="00390A33">
        <w:rPr>
          <w:rFonts w:asciiTheme="majorBidi" w:hAnsiTheme="majorBidi" w:cstheme="majorBidi"/>
          <w:b/>
          <w:bCs/>
          <w:lang w:eastAsia="en-US"/>
        </w:rPr>
        <w:t>Insurance services:</w:t>
      </w:r>
    </w:p>
    <w:p w:rsidR="00461B79" w:rsidRPr="006B76B9" w:rsidRDefault="006B76B9" w:rsidP="00461B79">
      <w:pPr>
        <w:bidi w:val="0"/>
        <w:jc w:val="lowKashida"/>
        <w:rPr>
          <w:rFonts w:asciiTheme="majorBidi" w:hAnsiTheme="majorBidi" w:cstheme="majorBidi"/>
          <w:b/>
          <w:bCs/>
          <w:lang w:eastAsia="en-US"/>
        </w:rPr>
      </w:pPr>
      <w:r w:rsidRPr="006B76B9">
        <w:t>It is the output of insurance activities that measured by the value of the actual and calculated cost of the service provided. In the case of other than life insurance (insurance against accidents such as car insurance, fire, and maritime insurance…etc) the cost of the calculated service equals: insurance premium with respect to future claims arising from the occurrence of the events specified in the insurance policies during the reference period in addition to the income generated from investing the technical reserves in the reference period minus claims payable for the reference period.   The output of life insurance is measured in the same way as it consists of the three aforementioned components in addition to the value of reduction of technical reserves, which are built by the insurance enterprises to pay the claims of an insurance policy included in the insurance program</w:t>
      </w:r>
    </w:p>
    <w:p w:rsidR="006B76B9" w:rsidRDefault="006B76B9" w:rsidP="00461B79">
      <w:pPr>
        <w:bidi w:val="0"/>
        <w:jc w:val="lowKashida"/>
        <w:rPr>
          <w:rFonts w:asciiTheme="majorBidi" w:hAnsiTheme="majorBidi" w:cstheme="majorBidi"/>
          <w:b/>
          <w:bCs/>
          <w:lang w:eastAsia="en-US"/>
        </w:rPr>
      </w:pPr>
    </w:p>
    <w:p w:rsidR="00461B79" w:rsidRPr="00390A33" w:rsidRDefault="00461B79" w:rsidP="006B76B9">
      <w:pPr>
        <w:bidi w:val="0"/>
        <w:jc w:val="lowKashida"/>
        <w:rPr>
          <w:rFonts w:asciiTheme="majorBidi" w:hAnsiTheme="majorBidi" w:cstheme="majorBidi"/>
          <w:b/>
          <w:bCs/>
          <w:lang w:eastAsia="en-US"/>
        </w:rPr>
      </w:pPr>
      <w:r w:rsidRPr="00390A33">
        <w:rPr>
          <w:rFonts w:asciiTheme="majorBidi" w:hAnsiTheme="majorBidi" w:cstheme="majorBidi"/>
          <w:b/>
          <w:bCs/>
          <w:lang w:eastAsia="en-US"/>
        </w:rPr>
        <w:t>Intermediate consumption:</w:t>
      </w:r>
    </w:p>
    <w:p w:rsidR="00461B79" w:rsidRPr="00390A33" w:rsidRDefault="007458D6" w:rsidP="00461B79">
      <w:pPr>
        <w:bidi w:val="0"/>
        <w:jc w:val="lowKashida"/>
        <w:rPr>
          <w:rFonts w:asciiTheme="majorBidi" w:hAnsiTheme="majorBidi" w:cstheme="majorBidi"/>
          <w:b/>
          <w:bCs/>
          <w:lang w:eastAsia="en-US"/>
        </w:rPr>
      </w:pPr>
      <w:r w:rsidRPr="00390A33">
        <w:rPr>
          <w:rFonts w:asciiTheme="majorBidi" w:hAnsiTheme="majorBidi" w:cstheme="majorBidi"/>
        </w:rPr>
        <w:t xml:space="preserve">It is </w:t>
      </w:r>
      <w:proofErr w:type="gramStart"/>
      <w:r w:rsidRPr="00390A33">
        <w:rPr>
          <w:rFonts w:asciiTheme="majorBidi" w:hAnsiTheme="majorBidi" w:cstheme="majorBidi"/>
        </w:rPr>
        <w:t>the  goods</w:t>
      </w:r>
      <w:proofErr w:type="gramEnd"/>
      <w:r w:rsidRPr="00390A33">
        <w:rPr>
          <w:rFonts w:asciiTheme="majorBidi" w:hAnsiTheme="majorBidi" w:cstheme="majorBidi"/>
        </w:rPr>
        <w:t xml:space="preserve"> and services consumed as inputs, used up or transformed during the production process. It is measured during a specific period in time in a way similar to measuring production. Intermediate consumption is estimated by purchase price, which is defined as the producers’ price plus transportation and wholesale and retail trade margins. The value of the gross intermediate consumption on the level of the total economy is the same whether calculated by purchase or producers’ price. However, on the detailed level, the two evaluations vary</w:t>
      </w:r>
    </w:p>
    <w:p w:rsidR="006B76B9" w:rsidRDefault="006B76B9" w:rsidP="00461B79">
      <w:pPr>
        <w:bidi w:val="0"/>
        <w:jc w:val="lowKashida"/>
        <w:rPr>
          <w:rFonts w:asciiTheme="majorBidi" w:hAnsiTheme="majorBidi" w:cstheme="majorBidi"/>
          <w:b/>
          <w:bCs/>
          <w:lang w:eastAsia="en-US"/>
        </w:rPr>
      </w:pPr>
    </w:p>
    <w:p w:rsidR="00461B79" w:rsidRPr="00390A33" w:rsidRDefault="00461B79" w:rsidP="006B76B9">
      <w:pPr>
        <w:bidi w:val="0"/>
        <w:jc w:val="lowKashida"/>
        <w:rPr>
          <w:rFonts w:asciiTheme="majorBidi" w:hAnsiTheme="majorBidi" w:cstheme="majorBidi"/>
          <w:b/>
          <w:bCs/>
          <w:lang w:eastAsia="en-US"/>
        </w:rPr>
      </w:pPr>
      <w:r w:rsidRPr="00390A33">
        <w:rPr>
          <w:rFonts w:asciiTheme="majorBidi" w:hAnsiTheme="majorBidi" w:cstheme="majorBidi"/>
          <w:b/>
          <w:bCs/>
          <w:lang w:eastAsia="en-US"/>
        </w:rPr>
        <w:t>Value added:</w:t>
      </w:r>
    </w:p>
    <w:p w:rsidR="00461B79" w:rsidRPr="00390A33" w:rsidRDefault="007458D6" w:rsidP="00461B79">
      <w:pPr>
        <w:bidi w:val="0"/>
        <w:jc w:val="lowKashida"/>
        <w:rPr>
          <w:rFonts w:asciiTheme="majorBidi" w:hAnsiTheme="majorBidi" w:cstheme="majorBidi"/>
          <w:lang w:eastAsia="en-US"/>
        </w:rPr>
      </w:pPr>
      <w:r w:rsidRPr="00390A33">
        <w:rPr>
          <w:rFonts w:asciiTheme="majorBidi" w:hAnsiTheme="majorBidi" w:cstheme="majorBidi"/>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FB72B1" w:rsidRDefault="00FB72B1" w:rsidP="00461B79">
      <w:pPr>
        <w:bidi w:val="0"/>
        <w:jc w:val="lowKashida"/>
        <w:rPr>
          <w:rFonts w:asciiTheme="majorBidi" w:hAnsiTheme="majorBidi" w:cstheme="majorBidi"/>
          <w:b/>
          <w:bCs/>
          <w:lang w:eastAsia="en-US"/>
        </w:rPr>
      </w:pPr>
    </w:p>
    <w:p w:rsidR="00461B79" w:rsidRPr="00390A33" w:rsidRDefault="00461B79" w:rsidP="00FB72B1">
      <w:pPr>
        <w:bidi w:val="0"/>
        <w:jc w:val="lowKashida"/>
        <w:rPr>
          <w:rFonts w:asciiTheme="majorBidi" w:hAnsiTheme="majorBidi" w:cstheme="majorBidi"/>
          <w:b/>
          <w:bCs/>
          <w:lang w:eastAsia="en-US"/>
        </w:rPr>
      </w:pPr>
      <w:r w:rsidRPr="00390A33">
        <w:rPr>
          <w:rFonts w:asciiTheme="majorBidi" w:hAnsiTheme="majorBidi" w:cstheme="majorBidi"/>
          <w:b/>
          <w:bCs/>
          <w:lang w:eastAsia="en-US"/>
        </w:rPr>
        <w:t>Gross Domestic Product or GDP:</w:t>
      </w:r>
    </w:p>
    <w:p w:rsidR="00461B79" w:rsidRPr="00390A33" w:rsidRDefault="00461B79" w:rsidP="00461B79">
      <w:pPr>
        <w:bidi w:val="0"/>
        <w:jc w:val="lowKashida"/>
        <w:rPr>
          <w:rFonts w:asciiTheme="majorBidi" w:hAnsiTheme="majorBidi" w:cstheme="majorBidi"/>
          <w:lang w:eastAsia="en-US"/>
        </w:rPr>
      </w:pPr>
      <w:r w:rsidRPr="00390A33">
        <w:rPr>
          <w:rFonts w:asciiTheme="majorBidi" w:hAnsiTheme="majorBidi" w:cstheme="majorBidi"/>
          <w:lang w:eastAsia="en-US"/>
        </w:rPr>
        <w:t xml:space="preserve">Gross Domestic Product or GDP is intended to be a measure of the value created by the productive activity of resident institutional units during a certain period in time. Estimate of GDP, like the output and the value added, can vary according to taxes and subsidies taken into consideration. GDP is usually estimated at market prices, producers’ prices, or basic prices. </w:t>
      </w:r>
    </w:p>
    <w:p w:rsidR="00461B79" w:rsidRPr="00390A33" w:rsidRDefault="00461B79" w:rsidP="00461B79">
      <w:pPr>
        <w:bidi w:val="0"/>
        <w:jc w:val="lowKashida"/>
        <w:rPr>
          <w:rFonts w:asciiTheme="majorBidi" w:hAnsiTheme="majorBidi" w:cstheme="majorBidi"/>
          <w:lang w:eastAsia="en-US"/>
        </w:rPr>
      </w:pPr>
    </w:p>
    <w:p w:rsidR="00461B79" w:rsidRPr="00390A33" w:rsidRDefault="00461B79" w:rsidP="00FB72B1">
      <w:pPr>
        <w:bidi w:val="0"/>
        <w:jc w:val="lowKashida"/>
        <w:rPr>
          <w:rFonts w:asciiTheme="majorBidi" w:hAnsiTheme="majorBidi" w:cstheme="majorBidi"/>
          <w:lang w:eastAsia="en-US"/>
        </w:rPr>
      </w:pPr>
      <w:r w:rsidRPr="00390A33">
        <w:rPr>
          <w:rFonts w:asciiTheme="majorBidi" w:hAnsiTheme="majorBidi" w:cstheme="majorBidi"/>
          <w:lang w:eastAsia="en-US"/>
        </w:rPr>
        <w:t xml:space="preserve">There </w:t>
      </w:r>
      <w:r w:rsidR="00FB72B1" w:rsidRPr="00390A33">
        <w:rPr>
          <w:rFonts w:asciiTheme="majorBidi" w:hAnsiTheme="majorBidi" w:cstheme="majorBidi"/>
          <w:lang w:eastAsia="en-US"/>
        </w:rPr>
        <w:t>are</w:t>
      </w:r>
      <w:r w:rsidRPr="00390A33">
        <w:rPr>
          <w:rFonts w:asciiTheme="majorBidi" w:hAnsiTheme="majorBidi" w:cstheme="majorBidi"/>
          <w:lang w:eastAsia="en-US"/>
        </w:rPr>
        <w:t xml:space="preserve"> three approaches to estimate the GDP: Output or Production approach, Expenditure approach, and Income approach. </w:t>
      </w:r>
    </w:p>
    <w:p w:rsidR="00FB72B1" w:rsidRDefault="00FB72B1" w:rsidP="00461B79">
      <w:pPr>
        <w:bidi w:val="0"/>
        <w:jc w:val="lowKashida"/>
        <w:rPr>
          <w:rFonts w:asciiTheme="majorBidi" w:hAnsiTheme="majorBidi" w:cstheme="majorBidi"/>
          <w:b/>
          <w:bCs/>
        </w:rPr>
      </w:pPr>
    </w:p>
    <w:p w:rsidR="00461B79" w:rsidRPr="00390A33" w:rsidRDefault="00461B79" w:rsidP="00FB72B1">
      <w:pPr>
        <w:bidi w:val="0"/>
        <w:jc w:val="lowKashida"/>
        <w:rPr>
          <w:rFonts w:asciiTheme="majorBidi" w:hAnsiTheme="majorBidi" w:cstheme="majorBidi"/>
          <w:b/>
          <w:bCs/>
        </w:rPr>
      </w:pPr>
      <w:r w:rsidRPr="00390A33">
        <w:rPr>
          <w:rFonts w:asciiTheme="majorBidi" w:hAnsiTheme="majorBidi" w:cstheme="majorBidi"/>
          <w:b/>
          <w:bCs/>
        </w:rPr>
        <w:t>3. Final consumption groups:</w:t>
      </w:r>
    </w:p>
    <w:p w:rsidR="00461B79" w:rsidRPr="000E25B3" w:rsidRDefault="00461B79" w:rsidP="00461B79">
      <w:pPr>
        <w:bidi w:val="0"/>
        <w:jc w:val="lowKashida"/>
        <w:rPr>
          <w:rFonts w:asciiTheme="majorBidi" w:hAnsiTheme="majorBidi" w:cstheme="majorBidi"/>
          <w:sz w:val="18"/>
          <w:szCs w:val="18"/>
        </w:rPr>
      </w:pPr>
    </w:p>
    <w:p w:rsidR="00461B79" w:rsidRPr="00390A33" w:rsidRDefault="00461B79" w:rsidP="00461B79">
      <w:pPr>
        <w:bidi w:val="0"/>
        <w:jc w:val="lowKashida"/>
        <w:rPr>
          <w:rFonts w:asciiTheme="majorBidi" w:hAnsiTheme="majorBidi" w:cstheme="majorBidi"/>
          <w:b/>
          <w:bCs/>
          <w:lang w:eastAsia="en-US"/>
        </w:rPr>
      </w:pPr>
      <w:r w:rsidRPr="00390A33">
        <w:rPr>
          <w:rFonts w:asciiTheme="majorBidi" w:hAnsiTheme="majorBidi" w:cstheme="majorBidi"/>
          <w:b/>
          <w:bCs/>
          <w:lang w:eastAsia="en-US"/>
        </w:rPr>
        <w:t>Final consumption:</w:t>
      </w:r>
    </w:p>
    <w:p w:rsidR="00461B79" w:rsidRPr="00390A33" w:rsidRDefault="00F228E5" w:rsidP="00461B79">
      <w:pPr>
        <w:bidi w:val="0"/>
        <w:jc w:val="lowKashida"/>
        <w:rPr>
          <w:rFonts w:asciiTheme="majorBidi" w:hAnsiTheme="majorBidi" w:cstheme="majorBidi"/>
          <w:b/>
          <w:bCs/>
          <w:lang w:eastAsia="en-US"/>
        </w:rPr>
      </w:pPr>
      <w:r w:rsidRPr="00390A33">
        <w:rPr>
          <w:rFonts w:asciiTheme="majorBidi" w:hAnsiTheme="majorBidi" w:cstheme="majorBidi"/>
        </w:rPr>
        <w:t>It is the consumption of households, government, and non-profit institutions. Therefore, the establishments’ consumption is not considered final consumption since products used in the production process are considered as intermediate consumption.</w:t>
      </w:r>
    </w:p>
    <w:p w:rsidR="00F228E5" w:rsidRPr="00390A33" w:rsidRDefault="00F228E5" w:rsidP="00F228E5">
      <w:pPr>
        <w:bidi w:val="0"/>
        <w:jc w:val="lowKashida"/>
        <w:rPr>
          <w:rFonts w:asciiTheme="majorBidi" w:hAnsiTheme="majorBidi" w:cstheme="majorBidi"/>
          <w:b/>
          <w:bCs/>
          <w:lang w:eastAsia="en-US"/>
        </w:rPr>
      </w:pPr>
    </w:p>
    <w:p w:rsidR="000E25B3" w:rsidRDefault="000E25B3" w:rsidP="00F228E5">
      <w:pPr>
        <w:bidi w:val="0"/>
        <w:jc w:val="lowKashida"/>
        <w:rPr>
          <w:rFonts w:asciiTheme="majorBidi" w:hAnsiTheme="majorBidi" w:cstheme="majorBidi"/>
          <w:b/>
          <w:bCs/>
          <w:lang w:eastAsia="en-US"/>
        </w:rPr>
      </w:pPr>
    </w:p>
    <w:p w:rsidR="000E25B3" w:rsidRDefault="000E25B3" w:rsidP="000E25B3">
      <w:pPr>
        <w:bidi w:val="0"/>
        <w:jc w:val="lowKashida"/>
        <w:rPr>
          <w:rFonts w:asciiTheme="majorBidi" w:hAnsiTheme="majorBidi" w:cstheme="majorBidi"/>
          <w:b/>
          <w:bCs/>
          <w:lang w:eastAsia="en-US"/>
        </w:rPr>
      </w:pPr>
    </w:p>
    <w:p w:rsidR="000E25B3" w:rsidRDefault="000E25B3" w:rsidP="000E25B3">
      <w:pPr>
        <w:bidi w:val="0"/>
        <w:jc w:val="lowKashida"/>
        <w:rPr>
          <w:rFonts w:asciiTheme="majorBidi" w:hAnsiTheme="majorBidi" w:cstheme="majorBidi"/>
          <w:b/>
          <w:bCs/>
          <w:lang w:eastAsia="en-US"/>
        </w:rPr>
      </w:pPr>
    </w:p>
    <w:p w:rsidR="00F228E5" w:rsidRPr="00390A33" w:rsidRDefault="00461B79" w:rsidP="000E25B3">
      <w:pPr>
        <w:bidi w:val="0"/>
        <w:jc w:val="lowKashida"/>
        <w:rPr>
          <w:rFonts w:asciiTheme="majorBidi" w:hAnsiTheme="majorBidi" w:cstheme="majorBidi"/>
          <w:lang w:eastAsia="en-US"/>
        </w:rPr>
      </w:pPr>
      <w:r w:rsidRPr="00390A33">
        <w:rPr>
          <w:rFonts w:asciiTheme="majorBidi" w:hAnsiTheme="majorBidi" w:cstheme="majorBidi"/>
          <w:b/>
          <w:bCs/>
          <w:lang w:eastAsia="en-US"/>
        </w:rPr>
        <w:lastRenderedPageBreak/>
        <w:t>Households’ final consumption</w:t>
      </w:r>
      <w:r w:rsidRPr="00390A33">
        <w:rPr>
          <w:rFonts w:asciiTheme="majorBidi" w:hAnsiTheme="majorBidi" w:cstheme="majorBidi"/>
          <w:lang w:eastAsia="en-US"/>
        </w:rPr>
        <w:t xml:space="preserve"> </w:t>
      </w:r>
    </w:p>
    <w:p w:rsidR="00461B79" w:rsidRPr="00390A33" w:rsidRDefault="00F228E5" w:rsidP="00F228E5">
      <w:pPr>
        <w:bidi w:val="0"/>
        <w:jc w:val="lowKashida"/>
        <w:rPr>
          <w:rFonts w:asciiTheme="majorBidi" w:hAnsiTheme="majorBidi" w:cstheme="majorBidi"/>
          <w:lang w:eastAsia="en-US"/>
        </w:rPr>
      </w:pPr>
      <w:proofErr w:type="gramStart"/>
      <w:r w:rsidRPr="00390A33">
        <w:rPr>
          <w:rFonts w:asciiTheme="majorBidi" w:hAnsiTheme="majorBidi" w:cstheme="majorBidi"/>
        </w:rPr>
        <w:t>expenditure</w:t>
      </w:r>
      <w:proofErr w:type="gramEnd"/>
      <w:r w:rsidRPr="00390A33">
        <w:rPr>
          <w:rFonts w:asciiTheme="majorBidi" w:hAnsiTheme="majorBidi" w:cstheme="majorBidi"/>
        </w:rPr>
        <w:t xml:space="preserve"> on all goods and services excluding expenditure on building and construction, which are considered gross fixed capital formation for the property owners. Renting accommodation is classified as final consumption spent by households</w:t>
      </w:r>
    </w:p>
    <w:p w:rsidR="00461B79" w:rsidRPr="00390A33" w:rsidRDefault="00461B79" w:rsidP="00461B79">
      <w:pPr>
        <w:bidi w:val="0"/>
        <w:jc w:val="lowKashida"/>
        <w:rPr>
          <w:rFonts w:asciiTheme="majorBidi" w:hAnsiTheme="majorBidi" w:cstheme="majorBidi"/>
          <w:lang w:eastAsia="en-US"/>
        </w:rPr>
      </w:pPr>
    </w:p>
    <w:p w:rsidR="00461B79" w:rsidRPr="00390A33" w:rsidRDefault="00461B79" w:rsidP="00F228E5">
      <w:pPr>
        <w:bidi w:val="0"/>
        <w:jc w:val="lowKashida"/>
        <w:rPr>
          <w:rFonts w:asciiTheme="majorBidi" w:hAnsiTheme="majorBidi" w:cstheme="majorBidi"/>
          <w:lang w:eastAsia="en-US"/>
        </w:rPr>
      </w:pPr>
      <w:r w:rsidRPr="00390A33">
        <w:rPr>
          <w:rFonts w:asciiTheme="majorBidi" w:hAnsiTheme="majorBidi" w:cstheme="majorBidi"/>
          <w:b/>
          <w:bCs/>
          <w:lang w:eastAsia="en-US"/>
        </w:rPr>
        <w:t>Government and non-profit institutions consumption</w:t>
      </w:r>
      <w:r w:rsidRPr="00390A33">
        <w:rPr>
          <w:rFonts w:asciiTheme="majorBidi" w:hAnsiTheme="majorBidi" w:cstheme="majorBidi"/>
          <w:lang w:eastAsia="en-US"/>
        </w:rPr>
        <w:t xml:space="preserve"> </w:t>
      </w:r>
    </w:p>
    <w:p w:rsidR="00F228E5" w:rsidRPr="00390A33" w:rsidRDefault="00F228E5" w:rsidP="00F228E5">
      <w:pPr>
        <w:bidi w:val="0"/>
        <w:jc w:val="lowKashida"/>
        <w:rPr>
          <w:rFonts w:asciiTheme="majorBidi" w:hAnsiTheme="majorBidi" w:cstheme="majorBidi"/>
          <w:b/>
          <w:bCs/>
          <w:lang w:eastAsia="en-US"/>
        </w:rPr>
      </w:pPr>
      <w:r w:rsidRPr="00390A33">
        <w:rPr>
          <w:rFonts w:asciiTheme="majorBidi" w:hAnsiTheme="majorBidi" w:cstheme="majorBidi"/>
        </w:rPr>
        <w:t>Expenditure of the two sectors can be divided into two types: individual and collective. The first includes spending that benefits individuals on medical services, for instance. Collective expenditure has a public nature such as the government’s spending on defense and security.</w:t>
      </w:r>
    </w:p>
    <w:p w:rsidR="00F228E5" w:rsidRPr="00390A33" w:rsidRDefault="00F228E5" w:rsidP="00461B79">
      <w:pPr>
        <w:bidi w:val="0"/>
        <w:jc w:val="lowKashida"/>
        <w:rPr>
          <w:rFonts w:asciiTheme="majorBidi" w:hAnsiTheme="majorBidi" w:cstheme="majorBidi"/>
          <w:b/>
          <w:bCs/>
          <w:lang w:eastAsia="en-US"/>
        </w:rPr>
      </w:pPr>
    </w:p>
    <w:p w:rsidR="00461B79" w:rsidRPr="00390A33" w:rsidRDefault="00461B79" w:rsidP="00F228E5">
      <w:pPr>
        <w:bidi w:val="0"/>
        <w:jc w:val="lowKashida"/>
        <w:rPr>
          <w:rFonts w:asciiTheme="majorBidi" w:hAnsiTheme="majorBidi" w:cstheme="majorBidi"/>
          <w:b/>
          <w:bCs/>
          <w:lang w:eastAsia="en-US"/>
        </w:rPr>
      </w:pPr>
      <w:r w:rsidRPr="00390A33">
        <w:rPr>
          <w:rFonts w:asciiTheme="majorBidi" w:hAnsiTheme="majorBidi" w:cstheme="majorBidi"/>
          <w:b/>
          <w:bCs/>
          <w:lang w:eastAsia="en-US"/>
        </w:rPr>
        <w:t>Gross capital formation:</w:t>
      </w:r>
    </w:p>
    <w:p w:rsidR="00461B79" w:rsidRPr="00390A33" w:rsidRDefault="007458D6" w:rsidP="00461B79">
      <w:pPr>
        <w:bidi w:val="0"/>
        <w:jc w:val="lowKashida"/>
        <w:rPr>
          <w:rFonts w:asciiTheme="majorBidi" w:hAnsiTheme="majorBidi" w:cstheme="majorBidi"/>
          <w:lang w:eastAsia="en-US"/>
        </w:rPr>
      </w:pPr>
      <w:r w:rsidRPr="00390A33">
        <w:rPr>
          <w:rFonts w:asciiTheme="majorBidi" w:hAnsiTheme="majorBidi" w:cstheme="majorBidi"/>
        </w:rPr>
        <w:t>Gross capital formation can be divided into three components: gross fixed capital formation, change in inventory, and net acquisitions of valuables. Henceforth, gross capital formation (or investment) can be defined as the total value of the three aforementioned components. It is measured at purchase price</w:t>
      </w:r>
      <w:r w:rsidR="00461B79" w:rsidRPr="00390A33">
        <w:rPr>
          <w:rFonts w:asciiTheme="majorBidi" w:hAnsiTheme="majorBidi" w:cstheme="majorBidi"/>
          <w:lang w:eastAsia="en-US"/>
        </w:rPr>
        <w:t>.</w:t>
      </w:r>
    </w:p>
    <w:p w:rsidR="00461B79" w:rsidRPr="00390A33" w:rsidRDefault="00461B79" w:rsidP="00461B79">
      <w:pPr>
        <w:bidi w:val="0"/>
        <w:jc w:val="lowKashida"/>
        <w:rPr>
          <w:rFonts w:asciiTheme="majorBidi" w:hAnsiTheme="majorBidi" w:cstheme="majorBidi"/>
          <w:lang w:eastAsia="en-US"/>
        </w:rPr>
      </w:pPr>
    </w:p>
    <w:p w:rsidR="00461B79" w:rsidRPr="00390A33" w:rsidRDefault="00461B79" w:rsidP="00461B79">
      <w:pPr>
        <w:bidi w:val="0"/>
        <w:jc w:val="lowKashida"/>
        <w:rPr>
          <w:rFonts w:asciiTheme="majorBidi" w:hAnsiTheme="majorBidi" w:cstheme="majorBidi"/>
          <w:lang w:eastAsia="en-US"/>
        </w:rPr>
      </w:pPr>
      <w:r w:rsidRPr="00390A33">
        <w:rPr>
          <w:rFonts w:asciiTheme="majorBidi" w:hAnsiTheme="majorBidi" w:cstheme="majorBidi"/>
          <w:b/>
          <w:bCs/>
          <w:lang w:eastAsia="en-US"/>
        </w:rPr>
        <w:t xml:space="preserve">Gross </w:t>
      </w:r>
      <w:r w:rsidR="00B87CEF" w:rsidRPr="00390A33">
        <w:rPr>
          <w:rFonts w:asciiTheme="majorBidi" w:hAnsiTheme="majorBidi" w:cstheme="majorBidi"/>
          <w:b/>
          <w:bCs/>
          <w:lang w:eastAsia="en-US"/>
        </w:rPr>
        <w:t>fixed capital</w:t>
      </w:r>
      <w:r w:rsidRPr="00390A33">
        <w:rPr>
          <w:rFonts w:asciiTheme="majorBidi" w:hAnsiTheme="majorBidi" w:cstheme="majorBidi"/>
          <w:b/>
          <w:bCs/>
          <w:lang w:eastAsia="en-US"/>
        </w:rPr>
        <w:t xml:space="preserve"> formation</w:t>
      </w:r>
      <w:r w:rsidR="00B87CEF" w:rsidRPr="00390A33">
        <w:rPr>
          <w:rFonts w:asciiTheme="majorBidi" w:hAnsiTheme="majorBidi" w:cstheme="majorBidi"/>
          <w:b/>
          <w:bCs/>
          <w:lang w:eastAsia="en-US"/>
        </w:rPr>
        <w:t>:</w:t>
      </w:r>
      <w:r w:rsidR="00B87CEF" w:rsidRPr="00390A33">
        <w:rPr>
          <w:rFonts w:asciiTheme="majorBidi" w:hAnsiTheme="majorBidi" w:cstheme="majorBidi"/>
          <w:lang w:eastAsia="en-US"/>
        </w:rPr>
        <w:t xml:space="preserve"> </w:t>
      </w:r>
      <w:r w:rsidR="00390A33" w:rsidRPr="00390A33">
        <w:rPr>
          <w:rFonts w:asciiTheme="majorBidi" w:hAnsiTheme="majorBidi" w:cstheme="majorBidi"/>
          <w:lang w:eastAsia="en-US"/>
        </w:rPr>
        <w:t xml:space="preserve"> </w:t>
      </w:r>
      <w:r w:rsidRPr="00390A33">
        <w:rPr>
          <w:rFonts w:asciiTheme="majorBidi" w:hAnsiTheme="majorBidi" w:cstheme="majorBidi"/>
          <w:lang w:eastAsia="en-US"/>
        </w:rPr>
        <w:t>the value of what producers own less what they spend on new and used capital goods (including households’ expenditure on accommodation where households are, in this sense, producers of accommodation services), in addition to capital improvements on lands and subsoil assets and the cost of property transaction of such assets.</w:t>
      </w:r>
      <w:r w:rsidRPr="00390A33">
        <w:rPr>
          <w:rStyle w:val="FootnoteReference"/>
          <w:rFonts w:asciiTheme="majorBidi" w:eastAsia="SimSun" w:hAnsiTheme="majorBidi" w:cstheme="majorBidi"/>
        </w:rPr>
        <w:footnoteReference w:id="2"/>
      </w:r>
      <w:r w:rsidRPr="00390A33">
        <w:rPr>
          <w:rFonts w:asciiTheme="majorBidi" w:hAnsiTheme="majorBidi" w:cstheme="majorBidi"/>
          <w:lang w:eastAsia="en-US"/>
        </w:rPr>
        <w:t xml:space="preserve"> Capital goods can be tangible such as houses, equipment, machinery, etc. or intangible such as copyrights, trademarks, computer programs, etc.</w:t>
      </w:r>
    </w:p>
    <w:p w:rsidR="00461B79" w:rsidRPr="00390A33" w:rsidRDefault="00461B79" w:rsidP="00461B79">
      <w:pPr>
        <w:bidi w:val="0"/>
        <w:jc w:val="lowKashida"/>
        <w:rPr>
          <w:rFonts w:asciiTheme="majorBidi" w:hAnsiTheme="majorBidi" w:cstheme="majorBidi"/>
          <w:lang w:eastAsia="en-US"/>
        </w:rPr>
      </w:pPr>
    </w:p>
    <w:p w:rsidR="00461B79" w:rsidRPr="00390A33" w:rsidRDefault="00461B79" w:rsidP="00390A33">
      <w:pPr>
        <w:bidi w:val="0"/>
        <w:jc w:val="lowKashida"/>
        <w:rPr>
          <w:rFonts w:asciiTheme="majorBidi" w:hAnsiTheme="majorBidi" w:cstheme="majorBidi"/>
          <w:lang w:eastAsia="en-US"/>
        </w:rPr>
      </w:pPr>
      <w:r w:rsidRPr="00390A33">
        <w:rPr>
          <w:rFonts w:asciiTheme="majorBidi" w:hAnsiTheme="majorBidi" w:cstheme="majorBidi"/>
          <w:b/>
          <w:bCs/>
          <w:lang w:eastAsia="en-US"/>
        </w:rPr>
        <w:t>Change in the inventory</w:t>
      </w:r>
      <w:r w:rsidR="00390A33" w:rsidRPr="00390A33">
        <w:rPr>
          <w:rFonts w:asciiTheme="majorBidi" w:hAnsiTheme="majorBidi" w:cstheme="majorBidi"/>
          <w:b/>
          <w:bCs/>
          <w:lang w:eastAsia="en-US"/>
        </w:rPr>
        <w:t>:</w:t>
      </w:r>
      <w:r w:rsidRPr="00390A33">
        <w:rPr>
          <w:rFonts w:asciiTheme="majorBidi" w:hAnsiTheme="majorBidi" w:cstheme="majorBidi"/>
          <w:b/>
          <w:bCs/>
          <w:lang w:eastAsia="en-US"/>
        </w:rPr>
        <w:t xml:space="preserve"> </w:t>
      </w:r>
      <w:r w:rsidR="00390A33" w:rsidRPr="00390A33">
        <w:rPr>
          <w:rFonts w:asciiTheme="majorBidi" w:hAnsiTheme="majorBidi" w:cstheme="majorBidi"/>
          <w:lang w:eastAsia="en-US"/>
        </w:rPr>
        <w:t>the</w:t>
      </w:r>
      <w:r w:rsidRPr="00390A33">
        <w:rPr>
          <w:rFonts w:asciiTheme="majorBidi" w:hAnsiTheme="majorBidi" w:cstheme="majorBidi"/>
          <w:lang w:eastAsia="en-US"/>
        </w:rPr>
        <w:t xml:space="preserve"> value of the goods entering the inventory less the value of the goods leaving the inventory. Goods must be valued at current prices, i.e., their prices at the time they enter or leave the inventory in order to avoid calculating unreal earnings of ownership. Change in the inventory also includes “under operating products”.</w:t>
      </w:r>
    </w:p>
    <w:p w:rsidR="00461B79" w:rsidRPr="00390A33" w:rsidRDefault="00461B79" w:rsidP="00461B79">
      <w:pPr>
        <w:bidi w:val="0"/>
        <w:jc w:val="lowKashida"/>
        <w:rPr>
          <w:rFonts w:asciiTheme="majorBidi" w:hAnsiTheme="majorBidi" w:cstheme="majorBidi"/>
          <w:lang w:eastAsia="en-US"/>
        </w:rPr>
      </w:pPr>
    </w:p>
    <w:p w:rsidR="00461B79" w:rsidRPr="00390A33" w:rsidRDefault="00461B79" w:rsidP="00461B79">
      <w:pPr>
        <w:bidi w:val="0"/>
        <w:jc w:val="lowKashida"/>
        <w:rPr>
          <w:rFonts w:asciiTheme="majorBidi" w:hAnsiTheme="majorBidi" w:cstheme="majorBidi"/>
          <w:b/>
          <w:bCs/>
          <w:lang w:eastAsia="en-US"/>
        </w:rPr>
      </w:pPr>
      <w:r w:rsidRPr="00390A33">
        <w:rPr>
          <w:rFonts w:asciiTheme="majorBidi" w:hAnsiTheme="majorBidi" w:cstheme="majorBidi"/>
          <w:b/>
          <w:bCs/>
          <w:lang w:eastAsia="en-US"/>
        </w:rPr>
        <w:t>Exports and imports of goods and services:</w:t>
      </w:r>
    </w:p>
    <w:p w:rsidR="00461B79" w:rsidRPr="00390A33" w:rsidRDefault="00461B79" w:rsidP="00461B79">
      <w:pPr>
        <w:bidi w:val="0"/>
        <w:jc w:val="lowKashida"/>
        <w:rPr>
          <w:rFonts w:asciiTheme="majorBidi" w:hAnsiTheme="majorBidi" w:cstheme="majorBidi"/>
          <w:lang w:eastAsia="en-US"/>
        </w:rPr>
      </w:pPr>
      <w:r w:rsidRPr="00390A33">
        <w:rPr>
          <w:rFonts w:asciiTheme="majorBidi" w:hAnsiTheme="majorBidi" w:cstheme="majorBidi"/>
          <w:lang w:eastAsia="en-US"/>
        </w:rPr>
        <w:t>They include trading goods and services among residents and non-residents and selling, barter, and gifts.</w:t>
      </w:r>
    </w:p>
    <w:p w:rsidR="00461B79" w:rsidRPr="00390A33" w:rsidRDefault="00461B79" w:rsidP="00461B79">
      <w:pPr>
        <w:bidi w:val="0"/>
        <w:jc w:val="lowKashida"/>
        <w:rPr>
          <w:rFonts w:asciiTheme="majorBidi" w:hAnsiTheme="majorBidi" w:cstheme="majorBidi"/>
          <w:b/>
          <w:bCs/>
          <w:lang w:eastAsia="en-US"/>
        </w:rPr>
      </w:pPr>
    </w:p>
    <w:p w:rsidR="00461B79" w:rsidRPr="00390A33" w:rsidRDefault="00461B79" w:rsidP="00461B79">
      <w:pPr>
        <w:bidi w:val="0"/>
        <w:jc w:val="lowKashida"/>
        <w:rPr>
          <w:rFonts w:asciiTheme="majorBidi" w:hAnsiTheme="majorBidi" w:cstheme="majorBidi"/>
          <w:b/>
          <w:bCs/>
          <w:lang w:eastAsia="en-US"/>
        </w:rPr>
      </w:pPr>
      <w:r w:rsidRPr="00390A33">
        <w:rPr>
          <w:rFonts w:asciiTheme="majorBidi" w:hAnsiTheme="majorBidi" w:cstheme="majorBidi"/>
          <w:b/>
          <w:bCs/>
          <w:lang w:eastAsia="en-US"/>
        </w:rPr>
        <w:t>Gross National Income</w:t>
      </w:r>
      <w:r w:rsidRPr="00390A33">
        <w:rPr>
          <w:rStyle w:val="FootnoteReference"/>
          <w:rFonts w:asciiTheme="majorBidi" w:eastAsia="SimSun" w:hAnsiTheme="majorBidi" w:cstheme="majorBidi"/>
          <w:b/>
          <w:bCs/>
        </w:rPr>
        <w:footnoteReference w:id="3"/>
      </w:r>
      <w:r w:rsidRPr="00390A33">
        <w:rPr>
          <w:rFonts w:asciiTheme="majorBidi" w:hAnsiTheme="majorBidi" w:cstheme="majorBidi"/>
          <w:b/>
          <w:bCs/>
          <w:lang w:eastAsia="en-US"/>
        </w:rPr>
        <w:t>:</w:t>
      </w:r>
    </w:p>
    <w:p w:rsidR="00461B79" w:rsidRPr="00390A33" w:rsidRDefault="00461B79" w:rsidP="00390A33">
      <w:pPr>
        <w:bidi w:val="0"/>
        <w:jc w:val="lowKashida"/>
        <w:rPr>
          <w:rFonts w:asciiTheme="majorBidi" w:hAnsiTheme="majorBidi" w:cstheme="majorBidi"/>
        </w:rPr>
      </w:pPr>
      <w:proofErr w:type="gramStart"/>
      <w:r w:rsidRPr="00390A33">
        <w:rPr>
          <w:rFonts w:asciiTheme="majorBidi" w:hAnsiTheme="majorBidi" w:cstheme="majorBidi"/>
          <w:lang w:eastAsia="en-US"/>
        </w:rPr>
        <w:t>the</w:t>
      </w:r>
      <w:proofErr w:type="gramEnd"/>
      <w:r w:rsidRPr="00390A33">
        <w:rPr>
          <w:rFonts w:asciiTheme="majorBidi" w:hAnsiTheme="majorBidi" w:cstheme="majorBidi"/>
          <w:lang w:eastAsia="en-US"/>
        </w:rPr>
        <w:t xml:space="preserve"> gross value of the initial earned income of residents. It is the income incurred by carrying out production activities or by owning financial assets or land or subsoil assets.</w:t>
      </w:r>
    </w:p>
    <w:p w:rsidR="00461B79" w:rsidRPr="00390A33" w:rsidRDefault="00461B79" w:rsidP="00461B79">
      <w:pPr>
        <w:bidi w:val="0"/>
        <w:jc w:val="lowKashida"/>
        <w:rPr>
          <w:rFonts w:asciiTheme="majorBidi" w:hAnsiTheme="majorBidi" w:cstheme="majorBidi"/>
          <w:b/>
          <w:bCs/>
          <w:lang w:eastAsia="en-US"/>
        </w:rPr>
      </w:pPr>
    </w:p>
    <w:p w:rsidR="00461B79" w:rsidRPr="00390A33" w:rsidRDefault="00461B79" w:rsidP="00461B79">
      <w:pPr>
        <w:bidi w:val="0"/>
        <w:jc w:val="lowKashida"/>
        <w:rPr>
          <w:rFonts w:asciiTheme="majorBidi" w:hAnsiTheme="majorBidi" w:cstheme="majorBidi"/>
          <w:b/>
          <w:bCs/>
          <w:lang w:eastAsia="en-US"/>
        </w:rPr>
      </w:pPr>
      <w:r w:rsidRPr="00390A33">
        <w:rPr>
          <w:rFonts w:asciiTheme="majorBidi" w:hAnsiTheme="majorBidi" w:cstheme="majorBidi"/>
          <w:b/>
          <w:bCs/>
          <w:lang w:eastAsia="en-US"/>
        </w:rPr>
        <w:t xml:space="preserve">Gross </w:t>
      </w:r>
      <w:r w:rsidR="000A6FA1" w:rsidRPr="00390A33">
        <w:rPr>
          <w:rFonts w:asciiTheme="majorBidi" w:hAnsiTheme="majorBidi" w:cstheme="majorBidi"/>
          <w:b/>
          <w:bCs/>
          <w:lang w:eastAsia="en-US"/>
        </w:rPr>
        <w:t xml:space="preserve">National </w:t>
      </w:r>
      <w:r w:rsidRPr="00390A33">
        <w:rPr>
          <w:rFonts w:asciiTheme="majorBidi" w:hAnsiTheme="majorBidi" w:cstheme="majorBidi"/>
          <w:b/>
          <w:bCs/>
          <w:lang w:eastAsia="en-US"/>
        </w:rPr>
        <w:t>disposable income:</w:t>
      </w:r>
    </w:p>
    <w:p w:rsidR="00461B79" w:rsidRPr="00390A33" w:rsidRDefault="00390A33" w:rsidP="00390A33">
      <w:pPr>
        <w:bidi w:val="0"/>
        <w:jc w:val="lowKashida"/>
        <w:rPr>
          <w:rFonts w:asciiTheme="majorBidi" w:hAnsiTheme="majorBidi" w:cstheme="majorBidi"/>
          <w:lang w:eastAsia="en-US"/>
        </w:rPr>
      </w:pPr>
      <w:proofErr w:type="gramStart"/>
      <w:r w:rsidRPr="00390A33">
        <w:rPr>
          <w:rFonts w:asciiTheme="majorBidi" w:hAnsiTheme="majorBidi" w:cstheme="majorBidi"/>
          <w:lang w:eastAsia="en-US"/>
        </w:rPr>
        <w:t xml:space="preserve">The </w:t>
      </w:r>
      <w:r w:rsidR="00461B79" w:rsidRPr="00390A33">
        <w:rPr>
          <w:rFonts w:asciiTheme="majorBidi" w:hAnsiTheme="majorBidi" w:cstheme="majorBidi"/>
          <w:lang w:eastAsia="en-US"/>
        </w:rPr>
        <w:t>available income of residents, which can be spent on consumption of goods and services (locally produced or imported goods and services) or for savings.</w:t>
      </w:r>
      <w:proofErr w:type="gramEnd"/>
      <w:r w:rsidR="00461B79" w:rsidRPr="00390A33">
        <w:rPr>
          <w:rFonts w:asciiTheme="majorBidi" w:hAnsiTheme="majorBidi" w:cstheme="majorBidi"/>
          <w:lang w:eastAsia="en-US"/>
        </w:rPr>
        <w:t xml:space="preserve"> </w:t>
      </w:r>
    </w:p>
    <w:p w:rsidR="009B22B0" w:rsidRPr="00461B79" w:rsidRDefault="009B22B0" w:rsidP="00461B79">
      <w:pPr>
        <w:bidi w:val="0"/>
        <w:rPr>
          <w:rtl/>
        </w:rPr>
      </w:pPr>
    </w:p>
    <w:sectPr w:rsidR="009B22B0" w:rsidRPr="00461B79" w:rsidSect="006A32E6">
      <w:headerReference w:type="default" r:id="rId10"/>
      <w:footerReference w:type="default" r:id="rId11"/>
      <w:pgSz w:w="11907" w:h="16840" w:code="9"/>
      <w:pgMar w:top="1418" w:right="1418" w:bottom="1418" w:left="1418" w:header="709" w:footer="709" w:gutter="0"/>
      <w:pgNumType w:start="19"/>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BCB" w:rsidRDefault="008F2BCB">
      <w:r>
        <w:separator/>
      </w:r>
    </w:p>
  </w:endnote>
  <w:endnote w:type="continuationSeparator" w:id="0">
    <w:p w:rsidR="008F2BCB" w:rsidRDefault="008F2B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10000000000000000"/>
    <w:charset w:val="B2"/>
    <w:family w:val="auto"/>
    <w:pitch w:val="variable"/>
    <w:sig w:usb0="00002001" w:usb1="00000000" w:usb2="00000000" w:usb3="00000000" w:csb0="00000040" w:csb1="00000000"/>
  </w:font>
  <w:font w:name="MS Mincho">
    <w:altName w:val="ＭＳ 明朝"/>
    <w:panose1 w:val="02020609040205080304"/>
    <w:charset w:val="80"/>
    <w:family w:val="modern"/>
    <w:pitch w:val="fixed"/>
    <w:sig w:usb0="A00002BF" w:usb1="68C7FCFB" w:usb2="00000010" w:usb3="00000000" w:csb0="0002009F"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506" w:rsidRDefault="00CE2506" w:rsidP="006A32E6">
    <w:pPr>
      <w:pStyle w:val="Footer"/>
      <w:bidi w:val="0"/>
      <w:jc w:val="center"/>
    </w:pPr>
    <w:r>
      <w:t>[</w:t>
    </w:r>
    <w:fldSimple w:instr=" PAGE   \* MERGEFORMAT ">
      <w:r w:rsidR="00767065">
        <w:t>19</w:t>
      </w:r>
    </w:fldSimple>
    <w:r>
      <w:t>]</w:t>
    </w:r>
  </w:p>
  <w:p w:rsidR="00CE2506" w:rsidRDefault="00CE2506">
    <w:pPr>
      <w:pStyle w:val="Footer"/>
      <w:bidi w:val="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BCB" w:rsidRDefault="008F2BCB">
      <w:pPr>
        <w:jc w:val="right"/>
      </w:pPr>
      <w:r>
        <w:separator/>
      </w:r>
    </w:p>
  </w:footnote>
  <w:footnote w:type="continuationSeparator" w:id="0">
    <w:p w:rsidR="008F2BCB" w:rsidRDefault="008F2BCB">
      <w:r>
        <w:continuationSeparator/>
      </w:r>
    </w:p>
  </w:footnote>
  <w:footnote w:id="1">
    <w:p w:rsidR="00CE2506" w:rsidRDefault="00CE2506" w:rsidP="00461B79">
      <w:pPr>
        <w:pStyle w:val="FootnoteText"/>
        <w:rPr>
          <w:rFonts w:cs="Times New Roman"/>
          <w:sz w:val="18"/>
          <w:szCs w:val="18"/>
          <w:lang w:eastAsia="en-US"/>
        </w:rPr>
      </w:pPr>
      <w:r>
        <w:rPr>
          <w:rStyle w:val="FootnoteReference"/>
          <w:rFonts w:eastAsia="SimSun"/>
          <w:sz w:val="18"/>
          <w:szCs w:val="18"/>
        </w:rPr>
        <w:footnoteRef/>
      </w:r>
      <w:r>
        <w:rPr>
          <w:rFonts w:cs="Times New Roman"/>
          <w:sz w:val="18"/>
          <w:szCs w:val="18"/>
          <w:lang w:eastAsia="en-US"/>
        </w:rPr>
        <w:t xml:space="preserve"> Many countries produce education, health, social, and public services data under this title in accordance with the System of National Accounts. </w:t>
      </w:r>
    </w:p>
  </w:footnote>
  <w:footnote w:id="2">
    <w:p w:rsidR="00CE2506" w:rsidRDefault="00CE2506" w:rsidP="00461B79">
      <w:pPr>
        <w:pStyle w:val="FootnoteText"/>
        <w:rPr>
          <w:rFonts w:cs="Times New Roman"/>
          <w:sz w:val="18"/>
          <w:szCs w:val="18"/>
          <w:lang w:eastAsia="en-US"/>
        </w:rPr>
      </w:pPr>
      <w:r>
        <w:rPr>
          <w:rStyle w:val="FootnoteReference"/>
          <w:rFonts w:eastAsia="SimSun"/>
          <w:sz w:val="18"/>
          <w:szCs w:val="18"/>
        </w:rPr>
        <w:footnoteRef/>
      </w:r>
      <w:r>
        <w:rPr>
          <w:rFonts w:cs="Times New Roman"/>
          <w:sz w:val="18"/>
          <w:szCs w:val="18"/>
          <w:lang w:eastAsia="en-US"/>
        </w:rPr>
        <w:t xml:space="preserve"> The definition can be simplified: gross fixed capital formation includes capital improvements of all non-produced assets and the costs of property transaction of all non-produced assets. It also includes tangible non-produced assets, land and subsoil assets, water sources, and non-organic cultivated</w:t>
      </w:r>
      <w:r>
        <w:rPr>
          <w:rFonts w:cs="Times New Roman"/>
          <w:sz w:val="18"/>
          <w:szCs w:val="18"/>
          <w:rtl/>
          <w:lang w:val="en-GB" w:eastAsia="en-US"/>
        </w:rPr>
        <w:t xml:space="preserve"> </w:t>
      </w:r>
      <w:r>
        <w:rPr>
          <w:rFonts w:cs="Times New Roman"/>
          <w:sz w:val="18"/>
          <w:szCs w:val="18"/>
          <w:lang w:eastAsia="en-US"/>
        </w:rPr>
        <w:t xml:space="preserve">sources. Non-produced assets include copyrights, rental contacts, and purchasable name of fame. In any case, such deals have not been estimated since they are of a neglected value in Palestine.  </w:t>
      </w:r>
    </w:p>
  </w:footnote>
  <w:footnote w:id="3">
    <w:p w:rsidR="00CE2506" w:rsidRDefault="00CE2506" w:rsidP="00461B79">
      <w:pPr>
        <w:pStyle w:val="FootnoteText"/>
        <w:rPr>
          <w:rFonts w:cs="Times New Roman"/>
          <w:sz w:val="18"/>
          <w:szCs w:val="18"/>
          <w:lang w:eastAsia="en-US"/>
        </w:rPr>
      </w:pPr>
      <w:r>
        <w:rPr>
          <w:rStyle w:val="FootnoteReference"/>
          <w:rFonts w:eastAsia="SimSun"/>
          <w:sz w:val="18"/>
          <w:szCs w:val="18"/>
        </w:rPr>
        <w:footnoteRef/>
      </w:r>
      <w:r>
        <w:rPr>
          <w:rFonts w:cs="Times New Roman"/>
          <w:sz w:val="18"/>
          <w:szCs w:val="18"/>
          <w:lang w:eastAsia="en-US"/>
        </w:rPr>
        <w:t xml:space="preserve"> Formerly known as Gross National Product GNP in SNA 1968 but the term became absolute in SNA 1993.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506" w:rsidRPr="00815CAB" w:rsidRDefault="00CE2506" w:rsidP="00C90B45">
    <w:pPr>
      <w:pStyle w:val="Header"/>
      <w:bidi w:val="0"/>
      <w:rPr>
        <w:rFonts w:ascii="Arial" w:hAnsi="Arial" w:cs="Arial"/>
      </w:rPr>
    </w:pPr>
    <w:r w:rsidRPr="00815CAB">
      <w:rPr>
        <w:rFonts w:ascii="Arial" w:hAnsi="Arial" w:cs="Arial"/>
        <w:sz w:val="16"/>
        <w:szCs w:val="16"/>
      </w:rPr>
      <w:t>PCBS: Statistical Report, National Accounts at Current and Constant Prices (2009, 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720F"/>
    <w:multiLevelType w:val="hybridMultilevel"/>
    <w:tmpl w:val="DC6E0A7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7737525"/>
    <w:multiLevelType w:val="multilevel"/>
    <w:tmpl w:val="50D20BDA"/>
    <w:lvl w:ilvl="0">
      <w:start w:val="1"/>
      <w:numFmt w:val="decimal"/>
      <w:lvlText w:val="%1."/>
      <w:lvlJc w:val="left"/>
      <w:pPr>
        <w:tabs>
          <w:tab w:val="num" w:pos="360"/>
        </w:tabs>
        <w:ind w:left="360" w:right="360" w:hanging="360"/>
      </w:pPr>
      <w:rPr>
        <w:rFonts w:cs="Times New Roman"/>
      </w:rPr>
    </w:lvl>
    <w:lvl w:ilvl="1">
      <w:start w:val="2"/>
      <w:numFmt w:val="decimal"/>
      <w:isLgl/>
      <w:lvlText w:val="%1.%2"/>
      <w:lvlJc w:val="left"/>
      <w:pPr>
        <w:tabs>
          <w:tab w:val="num" w:pos="360"/>
        </w:tabs>
        <w:ind w:left="360" w:right="360" w:hanging="360"/>
      </w:pPr>
      <w:rPr>
        <w:rFonts w:eastAsia="Arial Unicode MS" w:cs="Times New Roman" w:hint="default"/>
      </w:rPr>
    </w:lvl>
    <w:lvl w:ilvl="2">
      <w:start w:val="1"/>
      <w:numFmt w:val="decimal"/>
      <w:isLgl/>
      <w:lvlText w:val="%1.%2.%3"/>
      <w:lvlJc w:val="left"/>
      <w:pPr>
        <w:tabs>
          <w:tab w:val="num" w:pos="720"/>
        </w:tabs>
        <w:ind w:left="720" w:right="720" w:hanging="720"/>
      </w:pPr>
      <w:rPr>
        <w:rFonts w:eastAsia="Arial Unicode MS" w:cs="Times New Roman" w:hint="default"/>
      </w:rPr>
    </w:lvl>
    <w:lvl w:ilvl="3">
      <w:start w:val="1"/>
      <w:numFmt w:val="decimal"/>
      <w:isLgl/>
      <w:lvlText w:val="%1.%2.%3.%4"/>
      <w:lvlJc w:val="left"/>
      <w:pPr>
        <w:tabs>
          <w:tab w:val="num" w:pos="720"/>
        </w:tabs>
        <w:ind w:left="720" w:right="720" w:hanging="720"/>
      </w:pPr>
      <w:rPr>
        <w:rFonts w:eastAsia="Arial Unicode MS" w:cs="Times New Roman" w:hint="default"/>
      </w:rPr>
    </w:lvl>
    <w:lvl w:ilvl="4">
      <w:start w:val="1"/>
      <w:numFmt w:val="decimal"/>
      <w:isLgl/>
      <w:lvlText w:val="%1.%2.%3.%4.%5"/>
      <w:lvlJc w:val="left"/>
      <w:pPr>
        <w:tabs>
          <w:tab w:val="num" w:pos="1080"/>
        </w:tabs>
        <w:ind w:left="1080" w:right="1080" w:hanging="1080"/>
      </w:pPr>
      <w:rPr>
        <w:rFonts w:eastAsia="Arial Unicode MS" w:cs="Times New Roman" w:hint="default"/>
      </w:rPr>
    </w:lvl>
    <w:lvl w:ilvl="5">
      <w:start w:val="1"/>
      <w:numFmt w:val="decimal"/>
      <w:isLgl/>
      <w:lvlText w:val="%1.%2.%3.%4.%5.%6"/>
      <w:lvlJc w:val="left"/>
      <w:pPr>
        <w:tabs>
          <w:tab w:val="num" w:pos="1080"/>
        </w:tabs>
        <w:ind w:left="1080" w:right="1080" w:hanging="1080"/>
      </w:pPr>
      <w:rPr>
        <w:rFonts w:eastAsia="Arial Unicode MS" w:cs="Times New Roman" w:hint="default"/>
      </w:rPr>
    </w:lvl>
    <w:lvl w:ilvl="6">
      <w:start w:val="1"/>
      <w:numFmt w:val="decimal"/>
      <w:isLgl/>
      <w:lvlText w:val="%1.%2.%3.%4.%5.%6.%7"/>
      <w:lvlJc w:val="left"/>
      <w:pPr>
        <w:tabs>
          <w:tab w:val="num" w:pos="1440"/>
        </w:tabs>
        <w:ind w:left="1440" w:right="1440" w:hanging="1440"/>
      </w:pPr>
      <w:rPr>
        <w:rFonts w:eastAsia="Arial Unicode MS" w:cs="Times New Roman" w:hint="default"/>
      </w:rPr>
    </w:lvl>
    <w:lvl w:ilvl="7">
      <w:start w:val="1"/>
      <w:numFmt w:val="decimal"/>
      <w:isLgl/>
      <w:lvlText w:val="%1.%2.%3.%4.%5.%6.%7.%8"/>
      <w:lvlJc w:val="left"/>
      <w:pPr>
        <w:tabs>
          <w:tab w:val="num" w:pos="1440"/>
        </w:tabs>
        <w:ind w:left="1440" w:right="1440" w:hanging="1440"/>
      </w:pPr>
      <w:rPr>
        <w:rFonts w:eastAsia="Arial Unicode MS" w:cs="Times New Roman" w:hint="default"/>
      </w:rPr>
    </w:lvl>
    <w:lvl w:ilvl="8">
      <w:start w:val="1"/>
      <w:numFmt w:val="decimal"/>
      <w:isLgl/>
      <w:lvlText w:val="%1.%2.%3.%4.%5.%6.%7.%8.%9"/>
      <w:lvlJc w:val="left"/>
      <w:pPr>
        <w:tabs>
          <w:tab w:val="num" w:pos="1800"/>
        </w:tabs>
        <w:ind w:left="1800" w:right="1800" w:hanging="1800"/>
      </w:pPr>
      <w:rPr>
        <w:rFonts w:eastAsia="Arial Unicode MS" w:cs="Times New Roman" w:hint="default"/>
      </w:rPr>
    </w:lvl>
  </w:abstractNum>
  <w:abstractNum w:abstractNumId="2">
    <w:nsid w:val="0E174CD5"/>
    <w:multiLevelType w:val="hybridMultilevel"/>
    <w:tmpl w:val="9C96D61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3">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6137969"/>
    <w:multiLevelType w:val="multilevel"/>
    <w:tmpl w:val="0518B26A"/>
    <w:lvl w:ilvl="0">
      <w:start w:val="1"/>
      <w:numFmt w:val="decimal"/>
      <w:lvlText w:val="%1"/>
      <w:lvlJc w:val="left"/>
      <w:pPr>
        <w:tabs>
          <w:tab w:val="num" w:pos="360"/>
        </w:tabs>
        <w:ind w:left="360" w:right="360" w:hanging="360"/>
      </w:pPr>
      <w:rPr>
        <w:rFonts w:cs="Times New Roman" w:hint="default"/>
      </w:rPr>
    </w:lvl>
    <w:lvl w:ilvl="1">
      <w:start w:val="1"/>
      <w:numFmt w:val="decimal"/>
      <w:lvlText w:val="%1.%2"/>
      <w:lvlJc w:val="left"/>
      <w:pPr>
        <w:tabs>
          <w:tab w:val="num" w:pos="420"/>
        </w:tabs>
        <w:ind w:left="420" w:right="420" w:hanging="360"/>
      </w:pPr>
      <w:rPr>
        <w:rFonts w:cs="Times New Roman" w:hint="default"/>
      </w:rPr>
    </w:lvl>
    <w:lvl w:ilvl="2">
      <w:start w:val="1"/>
      <w:numFmt w:val="upperLetter"/>
      <w:lvlText w:val="%1.%2.%3"/>
      <w:lvlJc w:val="left"/>
      <w:pPr>
        <w:tabs>
          <w:tab w:val="num" w:pos="840"/>
        </w:tabs>
        <w:ind w:left="840" w:right="840" w:hanging="720"/>
      </w:pPr>
      <w:rPr>
        <w:rFonts w:cs="Times New Roman" w:hint="default"/>
      </w:rPr>
    </w:lvl>
    <w:lvl w:ilvl="3">
      <w:start w:val="1"/>
      <w:numFmt w:val="decimal"/>
      <w:lvlText w:val="%1.%2.%3.%4"/>
      <w:lvlJc w:val="left"/>
      <w:pPr>
        <w:tabs>
          <w:tab w:val="num" w:pos="900"/>
        </w:tabs>
        <w:ind w:left="900" w:right="900" w:hanging="720"/>
      </w:pPr>
      <w:rPr>
        <w:rFonts w:cs="Times New Roman" w:hint="default"/>
      </w:rPr>
    </w:lvl>
    <w:lvl w:ilvl="4">
      <w:start w:val="1"/>
      <w:numFmt w:val="decimal"/>
      <w:lvlText w:val="%1.%2.%3.%4.%5"/>
      <w:lvlJc w:val="left"/>
      <w:pPr>
        <w:tabs>
          <w:tab w:val="num" w:pos="1320"/>
        </w:tabs>
        <w:ind w:left="1320" w:right="1320" w:hanging="1080"/>
      </w:pPr>
      <w:rPr>
        <w:rFonts w:cs="Times New Roman" w:hint="default"/>
      </w:rPr>
    </w:lvl>
    <w:lvl w:ilvl="5">
      <w:start w:val="1"/>
      <w:numFmt w:val="decimal"/>
      <w:lvlText w:val="%1.%2.%3.%4.%5.%6"/>
      <w:lvlJc w:val="left"/>
      <w:pPr>
        <w:tabs>
          <w:tab w:val="num" w:pos="1380"/>
        </w:tabs>
        <w:ind w:left="1380" w:right="1380" w:hanging="1080"/>
      </w:pPr>
      <w:rPr>
        <w:rFonts w:cs="Times New Roman" w:hint="default"/>
      </w:rPr>
    </w:lvl>
    <w:lvl w:ilvl="6">
      <w:start w:val="1"/>
      <w:numFmt w:val="decimal"/>
      <w:lvlText w:val="%1.%2.%3.%4.%5.%6.%7"/>
      <w:lvlJc w:val="left"/>
      <w:pPr>
        <w:tabs>
          <w:tab w:val="num" w:pos="1800"/>
        </w:tabs>
        <w:ind w:left="1800" w:right="1800" w:hanging="1440"/>
      </w:pPr>
      <w:rPr>
        <w:rFonts w:cs="Times New Roman" w:hint="default"/>
      </w:rPr>
    </w:lvl>
    <w:lvl w:ilvl="7">
      <w:start w:val="1"/>
      <w:numFmt w:val="decimal"/>
      <w:lvlText w:val="%1.%2.%3.%4.%5.%6.%7.%8"/>
      <w:lvlJc w:val="left"/>
      <w:pPr>
        <w:tabs>
          <w:tab w:val="num" w:pos="1860"/>
        </w:tabs>
        <w:ind w:left="1860" w:right="1860" w:hanging="1440"/>
      </w:pPr>
      <w:rPr>
        <w:rFonts w:cs="Times New Roman" w:hint="default"/>
      </w:rPr>
    </w:lvl>
    <w:lvl w:ilvl="8">
      <w:start w:val="1"/>
      <w:numFmt w:val="decimal"/>
      <w:lvlText w:val="%1.%2.%3.%4.%5.%6.%7.%8.%9"/>
      <w:lvlJc w:val="left"/>
      <w:pPr>
        <w:tabs>
          <w:tab w:val="num" w:pos="2280"/>
        </w:tabs>
        <w:ind w:left="2280" w:right="2280" w:hanging="1800"/>
      </w:pPr>
      <w:rPr>
        <w:rFonts w:cs="Times New Roman" w:hint="default"/>
      </w:rPr>
    </w:lvl>
  </w:abstractNum>
  <w:abstractNum w:abstractNumId="5">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6">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437C3F28"/>
    <w:multiLevelType w:val="multilevel"/>
    <w:tmpl w:val="53EE4F76"/>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8">
    <w:nsid w:val="5E2E44A9"/>
    <w:multiLevelType w:val="hybridMultilevel"/>
    <w:tmpl w:val="B7CA6B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6CD43CEC"/>
    <w:multiLevelType w:val="hybridMultilevel"/>
    <w:tmpl w:val="45F2C6D8"/>
    <w:lvl w:ilvl="0" w:tplc="EBFCA552">
      <w:numFmt w:val="irohaFullWidth"/>
      <w:lvlText w:val="-"/>
      <w:lvlJc w:val="left"/>
      <w:pPr>
        <w:tabs>
          <w:tab w:val="num" w:pos="360"/>
        </w:tabs>
        <w:ind w:left="360" w:right="360" w:hanging="360"/>
      </w:pPr>
      <w:rPr>
        <w:rFonts w:ascii="MS Mincho" w:eastAsia="MS Mincho" w:hAnsi="MS Mincho" w:cs="Simplified Arabic" w:hint="default"/>
      </w:rPr>
    </w:lvl>
    <w:lvl w:ilvl="1" w:tplc="04010003" w:tentative="1">
      <w:start w:val="1"/>
      <w:numFmt w:val="bullet"/>
      <w:lvlText w:val="o"/>
      <w:lvlJc w:val="left"/>
      <w:pPr>
        <w:tabs>
          <w:tab w:val="num" w:pos="360"/>
        </w:tabs>
        <w:ind w:left="360" w:right="360" w:hanging="360"/>
      </w:pPr>
      <w:rPr>
        <w:rFonts w:ascii="Courier New" w:hAnsi="Courier New" w:hint="default"/>
      </w:rPr>
    </w:lvl>
    <w:lvl w:ilvl="2" w:tplc="04010005" w:tentative="1">
      <w:start w:val="1"/>
      <w:numFmt w:val="bullet"/>
      <w:lvlText w:val=""/>
      <w:lvlJc w:val="left"/>
      <w:pPr>
        <w:tabs>
          <w:tab w:val="num" w:pos="1080"/>
        </w:tabs>
        <w:ind w:left="1080" w:right="1080" w:hanging="360"/>
      </w:pPr>
      <w:rPr>
        <w:rFonts w:ascii="Wingdings" w:hAnsi="Wingdings" w:hint="default"/>
      </w:rPr>
    </w:lvl>
    <w:lvl w:ilvl="3" w:tplc="04010001" w:tentative="1">
      <w:start w:val="1"/>
      <w:numFmt w:val="bullet"/>
      <w:lvlText w:val=""/>
      <w:lvlJc w:val="left"/>
      <w:pPr>
        <w:tabs>
          <w:tab w:val="num" w:pos="1800"/>
        </w:tabs>
        <w:ind w:left="1800" w:right="1800" w:hanging="360"/>
      </w:pPr>
      <w:rPr>
        <w:rFonts w:ascii="Symbol" w:hAnsi="Symbol" w:hint="default"/>
      </w:rPr>
    </w:lvl>
    <w:lvl w:ilvl="4" w:tplc="04010003" w:tentative="1">
      <w:start w:val="1"/>
      <w:numFmt w:val="bullet"/>
      <w:lvlText w:val="o"/>
      <w:lvlJc w:val="left"/>
      <w:pPr>
        <w:tabs>
          <w:tab w:val="num" w:pos="2520"/>
        </w:tabs>
        <w:ind w:left="2520" w:right="2520" w:hanging="360"/>
      </w:pPr>
      <w:rPr>
        <w:rFonts w:ascii="Courier New" w:hAnsi="Courier New" w:hint="default"/>
      </w:rPr>
    </w:lvl>
    <w:lvl w:ilvl="5" w:tplc="04010005" w:tentative="1">
      <w:start w:val="1"/>
      <w:numFmt w:val="bullet"/>
      <w:lvlText w:val=""/>
      <w:lvlJc w:val="left"/>
      <w:pPr>
        <w:tabs>
          <w:tab w:val="num" w:pos="3240"/>
        </w:tabs>
        <w:ind w:left="3240" w:right="3240" w:hanging="360"/>
      </w:pPr>
      <w:rPr>
        <w:rFonts w:ascii="Wingdings" w:hAnsi="Wingdings" w:hint="default"/>
      </w:rPr>
    </w:lvl>
    <w:lvl w:ilvl="6" w:tplc="04010001" w:tentative="1">
      <w:start w:val="1"/>
      <w:numFmt w:val="bullet"/>
      <w:lvlText w:val=""/>
      <w:lvlJc w:val="left"/>
      <w:pPr>
        <w:tabs>
          <w:tab w:val="num" w:pos="3960"/>
        </w:tabs>
        <w:ind w:left="3960" w:right="3960" w:hanging="360"/>
      </w:pPr>
      <w:rPr>
        <w:rFonts w:ascii="Symbol" w:hAnsi="Symbol" w:hint="default"/>
      </w:rPr>
    </w:lvl>
    <w:lvl w:ilvl="7" w:tplc="04010003" w:tentative="1">
      <w:start w:val="1"/>
      <w:numFmt w:val="bullet"/>
      <w:lvlText w:val="o"/>
      <w:lvlJc w:val="left"/>
      <w:pPr>
        <w:tabs>
          <w:tab w:val="num" w:pos="4680"/>
        </w:tabs>
        <w:ind w:left="4680" w:right="4680" w:hanging="360"/>
      </w:pPr>
      <w:rPr>
        <w:rFonts w:ascii="Courier New" w:hAnsi="Courier New" w:hint="default"/>
      </w:rPr>
    </w:lvl>
    <w:lvl w:ilvl="8" w:tplc="04010005" w:tentative="1">
      <w:start w:val="1"/>
      <w:numFmt w:val="bullet"/>
      <w:lvlText w:val=""/>
      <w:lvlJc w:val="left"/>
      <w:pPr>
        <w:tabs>
          <w:tab w:val="num" w:pos="5400"/>
        </w:tabs>
        <w:ind w:left="5400" w:right="5400" w:hanging="360"/>
      </w:pPr>
      <w:rPr>
        <w:rFonts w:ascii="Wingdings" w:hAnsi="Wingdings" w:hint="default"/>
      </w:rPr>
    </w:lvl>
  </w:abstractNum>
  <w:abstractNum w:abstractNumId="11">
    <w:nsid w:val="76613E41"/>
    <w:multiLevelType w:val="hybridMultilevel"/>
    <w:tmpl w:val="117C38A2"/>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7A1281F"/>
    <w:multiLevelType w:val="multilevel"/>
    <w:tmpl w:val="A87AF236"/>
    <w:lvl w:ilvl="0">
      <w:start w:val="1"/>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3">
    <w:nsid w:val="7D725C0A"/>
    <w:multiLevelType w:val="hybridMultilevel"/>
    <w:tmpl w:val="444212C8"/>
    <w:lvl w:ilvl="0" w:tplc="0401000F">
      <w:start w:val="4"/>
      <w:numFmt w:val="decimal"/>
      <w:lvlText w:val="%1."/>
      <w:lvlJc w:val="left"/>
      <w:pPr>
        <w:tabs>
          <w:tab w:val="num" w:pos="360"/>
        </w:tabs>
        <w:ind w:left="360" w:right="360" w:hanging="360"/>
      </w:pPr>
      <w:rPr>
        <w:rFonts w:hint="default"/>
      </w:rPr>
    </w:lvl>
    <w:lvl w:ilvl="1" w:tplc="04010019">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num w:numId="1">
    <w:abstractNumId w:val="3"/>
  </w:num>
  <w:num w:numId="2">
    <w:abstractNumId w:val="9"/>
  </w:num>
  <w:num w:numId="3">
    <w:abstractNumId w:val="0"/>
  </w:num>
  <w:num w:numId="4">
    <w:abstractNumId w:val="1"/>
  </w:num>
  <w:num w:numId="5">
    <w:abstractNumId w:val="11"/>
  </w:num>
  <w:num w:numId="6">
    <w:abstractNumId w:val="8"/>
  </w:num>
  <w:num w:numId="7">
    <w:abstractNumId w:val="4"/>
  </w:num>
  <w:num w:numId="8">
    <w:abstractNumId w:val="10"/>
  </w:num>
  <w:num w:numId="9">
    <w:abstractNumId w:val="13"/>
  </w:num>
  <w:num w:numId="10">
    <w:abstractNumId w:val="7"/>
  </w:num>
  <w:num w:numId="11">
    <w:abstractNumId w:val="2"/>
  </w:num>
  <w:num w:numId="12">
    <w:abstractNumId w:val="5"/>
  </w:num>
  <w:num w:numId="13">
    <w:abstractNumId w:val="6"/>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footnotePr>
    <w:footnote w:id="-1"/>
    <w:footnote w:id="0"/>
  </w:footnotePr>
  <w:endnotePr>
    <w:endnote w:id="-1"/>
    <w:endnote w:id="0"/>
  </w:endnotePr>
  <w:compat/>
  <w:rsids>
    <w:rsidRoot w:val="00672F7C"/>
    <w:rsid w:val="00000F3A"/>
    <w:rsid w:val="0000630A"/>
    <w:rsid w:val="00017585"/>
    <w:rsid w:val="0002184F"/>
    <w:rsid w:val="000276AB"/>
    <w:rsid w:val="00030B4B"/>
    <w:rsid w:val="00035256"/>
    <w:rsid w:val="0007072F"/>
    <w:rsid w:val="000A6FA1"/>
    <w:rsid w:val="000B3123"/>
    <w:rsid w:val="000B66F2"/>
    <w:rsid w:val="000C58FD"/>
    <w:rsid w:val="000D3495"/>
    <w:rsid w:val="000E0259"/>
    <w:rsid w:val="000E25B3"/>
    <w:rsid w:val="000E455B"/>
    <w:rsid w:val="000E532A"/>
    <w:rsid w:val="0011085E"/>
    <w:rsid w:val="00113DE1"/>
    <w:rsid w:val="001228C5"/>
    <w:rsid w:val="00126D59"/>
    <w:rsid w:val="001432C9"/>
    <w:rsid w:val="00167827"/>
    <w:rsid w:val="00197778"/>
    <w:rsid w:val="001C605A"/>
    <w:rsid w:val="001D5983"/>
    <w:rsid w:val="00200DB3"/>
    <w:rsid w:val="0020242F"/>
    <w:rsid w:val="00210865"/>
    <w:rsid w:val="0022528B"/>
    <w:rsid w:val="00225CC0"/>
    <w:rsid w:val="00225E7F"/>
    <w:rsid w:val="00250BBE"/>
    <w:rsid w:val="00264D99"/>
    <w:rsid w:val="0027667E"/>
    <w:rsid w:val="002A5C7B"/>
    <w:rsid w:val="002B0D9C"/>
    <w:rsid w:val="002D1471"/>
    <w:rsid w:val="002D5A9F"/>
    <w:rsid w:val="00341C0E"/>
    <w:rsid w:val="003520B0"/>
    <w:rsid w:val="00360AF8"/>
    <w:rsid w:val="003778FD"/>
    <w:rsid w:val="00390A33"/>
    <w:rsid w:val="003A4E37"/>
    <w:rsid w:val="003B186D"/>
    <w:rsid w:val="003D0A57"/>
    <w:rsid w:val="003D5FBE"/>
    <w:rsid w:val="004041DC"/>
    <w:rsid w:val="00420611"/>
    <w:rsid w:val="004440AF"/>
    <w:rsid w:val="00450A3F"/>
    <w:rsid w:val="00452237"/>
    <w:rsid w:val="0046068E"/>
    <w:rsid w:val="00461B79"/>
    <w:rsid w:val="00473834"/>
    <w:rsid w:val="00474924"/>
    <w:rsid w:val="00495518"/>
    <w:rsid w:val="004A1A9F"/>
    <w:rsid w:val="004B6320"/>
    <w:rsid w:val="004C4932"/>
    <w:rsid w:val="005161CD"/>
    <w:rsid w:val="00535A77"/>
    <w:rsid w:val="00545E3F"/>
    <w:rsid w:val="00551F9B"/>
    <w:rsid w:val="0056633B"/>
    <w:rsid w:val="005720D7"/>
    <w:rsid w:val="005942D9"/>
    <w:rsid w:val="005A49DD"/>
    <w:rsid w:val="005A78A4"/>
    <w:rsid w:val="005B4620"/>
    <w:rsid w:val="005C78FA"/>
    <w:rsid w:val="005E0E7A"/>
    <w:rsid w:val="005E4004"/>
    <w:rsid w:val="005E5263"/>
    <w:rsid w:val="005F05D5"/>
    <w:rsid w:val="00600E94"/>
    <w:rsid w:val="0061292C"/>
    <w:rsid w:val="00615FF9"/>
    <w:rsid w:val="0062254D"/>
    <w:rsid w:val="006276E6"/>
    <w:rsid w:val="006349E0"/>
    <w:rsid w:val="00642F81"/>
    <w:rsid w:val="00650DD6"/>
    <w:rsid w:val="0066659C"/>
    <w:rsid w:val="00670B43"/>
    <w:rsid w:val="00672F7C"/>
    <w:rsid w:val="006A32E6"/>
    <w:rsid w:val="006B6189"/>
    <w:rsid w:val="006B76B9"/>
    <w:rsid w:val="007218F1"/>
    <w:rsid w:val="007458D6"/>
    <w:rsid w:val="00751D89"/>
    <w:rsid w:val="00753005"/>
    <w:rsid w:val="0076621F"/>
    <w:rsid w:val="00767065"/>
    <w:rsid w:val="007E685A"/>
    <w:rsid w:val="007F33D9"/>
    <w:rsid w:val="007F6CF1"/>
    <w:rsid w:val="00811555"/>
    <w:rsid w:val="00811D78"/>
    <w:rsid w:val="00813B70"/>
    <w:rsid w:val="00815CAB"/>
    <w:rsid w:val="00822598"/>
    <w:rsid w:val="00845DDB"/>
    <w:rsid w:val="00856145"/>
    <w:rsid w:val="0087733A"/>
    <w:rsid w:val="0087764A"/>
    <w:rsid w:val="008A171D"/>
    <w:rsid w:val="008C2305"/>
    <w:rsid w:val="008D7FE6"/>
    <w:rsid w:val="008F2BCB"/>
    <w:rsid w:val="008F7DAF"/>
    <w:rsid w:val="00926B67"/>
    <w:rsid w:val="00931895"/>
    <w:rsid w:val="00957F97"/>
    <w:rsid w:val="0097260F"/>
    <w:rsid w:val="009A3321"/>
    <w:rsid w:val="009B22B0"/>
    <w:rsid w:val="009C36FF"/>
    <w:rsid w:val="00A052BD"/>
    <w:rsid w:val="00A1503A"/>
    <w:rsid w:val="00A31B30"/>
    <w:rsid w:val="00A365B5"/>
    <w:rsid w:val="00A71CBD"/>
    <w:rsid w:val="00AA4BF2"/>
    <w:rsid w:val="00AB59B8"/>
    <w:rsid w:val="00AC1BDF"/>
    <w:rsid w:val="00AD3354"/>
    <w:rsid w:val="00AD42F4"/>
    <w:rsid w:val="00B02DC6"/>
    <w:rsid w:val="00B14574"/>
    <w:rsid w:val="00B2322E"/>
    <w:rsid w:val="00B45B8C"/>
    <w:rsid w:val="00B52D09"/>
    <w:rsid w:val="00B737B6"/>
    <w:rsid w:val="00B75BEE"/>
    <w:rsid w:val="00B8201A"/>
    <w:rsid w:val="00B87CEF"/>
    <w:rsid w:val="00B96604"/>
    <w:rsid w:val="00BB4431"/>
    <w:rsid w:val="00BC304E"/>
    <w:rsid w:val="00C13C84"/>
    <w:rsid w:val="00C463AA"/>
    <w:rsid w:val="00C4750B"/>
    <w:rsid w:val="00C52ADD"/>
    <w:rsid w:val="00C62A49"/>
    <w:rsid w:val="00C65C4C"/>
    <w:rsid w:val="00C67EAE"/>
    <w:rsid w:val="00C90B45"/>
    <w:rsid w:val="00CA5FEB"/>
    <w:rsid w:val="00CD70B7"/>
    <w:rsid w:val="00CE0F34"/>
    <w:rsid w:val="00CE2506"/>
    <w:rsid w:val="00CE66EC"/>
    <w:rsid w:val="00CF393D"/>
    <w:rsid w:val="00D0622B"/>
    <w:rsid w:val="00D12E37"/>
    <w:rsid w:val="00D15DE9"/>
    <w:rsid w:val="00D27235"/>
    <w:rsid w:val="00D40CC6"/>
    <w:rsid w:val="00D54B7B"/>
    <w:rsid w:val="00D55B25"/>
    <w:rsid w:val="00D7114B"/>
    <w:rsid w:val="00D8514D"/>
    <w:rsid w:val="00DB0725"/>
    <w:rsid w:val="00DB1D0D"/>
    <w:rsid w:val="00DD59F1"/>
    <w:rsid w:val="00DD6826"/>
    <w:rsid w:val="00E02668"/>
    <w:rsid w:val="00E115B8"/>
    <w:rsid w:val="00E1699F"/>
    <w:rsid w:val="00E413DB"/>
    <w:rsid w:val="00E47B8C"/>
    <w:rsid w:val="00E52467"/>
    <w:rsid w:val="00E84C77"/>
    <w:rsid w:val="00EA43AD"/>
    <w:rsid w:val="00EB143C"/>
    <w:rsid w:val="00ED6347"/>
    <w:rsid w:val="00EF36E5"/>
    <w:rsid w:val="00F21219"/>
    <w:rsid w:val="00F228E5"/>
    <w:rsid w:val="00F42A0F"/>
    <w:rsid w:val="00FB112E"/>
    <w:rsid w:val="00FB72B1"/>
    <w:rsid w:val="00FE1195"/>
    <w:rsid w:val="00FE22CF"/>
    <w:rsid w:val="00FF6B5D"/>
    <w:rsid w:val="00FF6DD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8C5"/>
    <w:pPr>
      <w:bidi/>
    </w:pPr>
    <w:rPr>
      <w:sz w:val="24"/>
      <w:szCs w:val="24"/>
      <w:lang w:eastAsia="ar-SA"/>
    </w:rPr>
  </w:style>
  <w:style w:type="paragraph" w:styleId="Heading1">
    <w:name w:val="heading 1"/>
    <w:basedOn w:val="Normal"/>
    <w:next w:val="Normal"/>
    <w:qFormat/>
    <w:rsid w:val="001228C5"/>
    <w:pPr>
      <w:keepNext/>
      <w:bidi w:val="0"/>
      <w:jc w:val="center"/>
      <w:outlineLvl w:val="0"/>
    </w:pPr>
    <w:rPr>
      <w:rFonts w:cs="Traditional Arabic"/>
      <w:b/>
      <w:bCs/>
      <w:noProof/>
      <w:sz w:val="28"/>
      <w:szCs w:val="33"/>
      <w:lang w:eastAsia="en-US"/>
    </w:rPr>
  </w:style>
  <w:style w:type="paragraph" w:styleId="Heading2">
    <w:name w:val="heading 2"/>
    <w:basedOn w:val="Normal"/>
    <w:next w:val="Normal"/>
    <w:qFormat/>
    <w:rsid w:val="001228C5"/>
    <w:pPr>
      <w:keepNext/>
      <w:bidi w:val="0"/>
      <w:jc w:val="center"/>
      <w:outlineLvl w:val="1"/>
    </w:pPr>
    <w:rPr>
      <w:b/>
      <w:bCs/>
      <w:sz w:val="28"/>
      <w:szCs w:val="28"/>
    </w:rPr>
  </w:style>
  <w:style w:type="paragraph" w:styleId="Heading3">
    <w:name w:val="heading 3"/>
    <w:basedOn w:val="Normal"/>
    <w:next w:val="Normal"/>
    <w:qFormat/>
    <w:rsid w:val="001228C5"/>
    <w:pPr>
      <w:keepNext/>
      <w:ind w:right="-426"/>
      <w:jc w:val="right"/>
      <w:outlineLvl w:val="2"/>
    </w:pPr>
    <w:rPr>
      <w:rFonts w:cs="Traditional Arabic"/>
      <w:b/>
      <w:bCs/>
      <w:noProof/>
      <w:sz w:val="20"/>
      <w:szCs w:val="20"/>
      <w:lang w:eastAsia="en-US"/>
    </w:rPr>
  </w:style>
  <w:style w:type="paragraph" w:styleId="Heading4">
    <w:name w:val="heading 4"/>
    <w:basedOn w:val="Normal"/>
    <w:next w:val="Normal"/>
    <w:qFormat/>
    <w:rsid w:val="001228C5"/>
    <w:pPr>
      <w:keepNext/>
      <w:bidi w:val="0"/>
      <w:outlineLvl w:val="3"/>
    </w:pPr>
    <w:rPr>
      <w:rFonts w:cs="Traditional Arabic"/>
      <w:b/>
      <w:bCs/>
      <w:szCs w:val="28"/>
      <w:lang w:eastAsia="en-US"/>
    </w:rPr>
  </w:style>
  <w:style w:type="paragraph" w:styleId="Heading5">
    <w:name w:val="heading 5"/>
    <w:basedOn w:val="Normal"/>
    <w:next w:val="Normal"/>
    <w:qFormat/>
    <w:rsid w:val="001228C5"/>
    <w:pPr>
      <w:keepNext/>
      <w:bidi w:val="0"/>
      <w:jc w:val="center"/>
      <w:outlineLvl w:val="4"/>
    </w:pPr>
    <w:rPr>
      <w:rFonts w:ascii="Arial" w:hAnsi="Arial" w:cs="Arial"/>
      <w:b/>
      <w:bCs/>
      <w:sz w:val="18"/>
      <w:szCs w:val="18"/>
      <w:lang w:eastAsia="en-US"/>
    </w:rPr>
  </w:style>
  <w:style w:type="paragraph" w:styleId="Heading6">
    <w:name w:val="heading 6"/>
    <w:basedOn w:val="Normal"/>
    <w:next w:val="Normal"/>
    <w:qFormat/>
    <w:rsid w:val="001228C5"/>
    <w:pPr>
      <w:keepNext/>
      <w:jc w:val="center"/>
      <w:outlineLvl w:val="5"/>
    </w:pPr>
    <w:rPr>
      <w:rFonts w:cs="Simplified Arabic"/>
      <w:b/>
      <w:bCs/>
      <w:noProof/>
      <w:sz w:val="52"/>
      <w:szCs w:val="52"/>
      <w:lang w:eastAsia="en-US"/>
    </w:rPr>
  </w:style>
  <w:style w:type="paragraph" w:styleId="Heading7">
    <w:name w:val="heading 7"/>
    <w:basedOn w:val="Normal"/>
    <w:next w:val="Normal"/>
    <w:qFormat/>
    <w:rsid w:val="001228C5"/>
    <w:pPr>
      <w:keepNext/>
      <w:bidi w:val="0"/>
      <w:jc w:val="center"/>
      <w:outlineLvl w:val="6"/>
    </w:pPr>
    <w:rPr>
      <w:rFonts w:cs="Traditional Arabic"/>
      <w:b/>
      <w:bCs/>
      <w:noProof/>
      <w:sz w:val="36"/>
      <w:szCs w:val="36"/>
      <w:lang w:eastAsia="en-US"/>
    </w:rPr>
  </w:style>
  <w:style w:type="paragraph" w:styleId="Heading8">
    <w:name w:val="heading 8"/>
    <w:basedOn w:val="Normal"/>
    <w:next w:val="Normal"/>
    <w:qFormat/>
    <w:rsid w:val="001228C5"/>
    <w:pPr>
      <w:keepNext/>
      <w:jc w:val="right"/>
      <w:outlineLvl w:val="7"/>
    </w:pPr>
    <w:rPr>
      <w:rFonts w:cs="Traditional Arabic"/>
      <w:b/>
      <w:bCs/>
      <w:noProof/>
      <w:lang w:eastAsia="en-US"/>
    </w:rPr>
  </w:style>
  <w:style w:type="paragraph" w:styleId="Heading9">
    <w:name w:val="heading 9"/>
    <w:basedOn w:val="Normal"/>
    <w:next w:val="Normal"/>
    <w:qFormat/>
    <w:rsid w:val="001228C5"/>
    <w:pPr>
      <w:keepNext/>
      <w:jc w:val="right"/>
      <w:outlineLvl w:val="8"/>
    </w:pPr>
    <w:rPr>
      <w:rFonts w:cs="Simplified Arabic"/>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228C5"/>
    <w:rPr>
      <w:rFonts w:ascii="Cambria" w:eastAsia="SimSun" w:hAnsi="Cambria" w:cs="Times New Roman"/>
      <w:b/>
      <w:bCs/>
      <w:kern w:val="32"/>
      <w:sz w:val="32"/>
      <w:szCs w:val="32"/>
      <w:lang w:eastAsia="ar-SA" w:bidi="ar-SA"/>
    </w:rPr>
  </w:style>
  <w:style w:type="character" w:customStyle="1" w:styleId="Heading2Char">
    <w:name w:val="Heading 2 Char"/>
    <w:basedOn w:val="DefaultParagraphFont"/>
    <w:semiHidden/>
    <w:locked/>
    <w:rsid w:val="001228C5"/>
    <w:rPr>
      <w:rFonts w:ascii="Cambria" w:eastAsia="SimSun" w:hAnsi="Cambria" w:cs="Times New Roman"/>
      <w:b/>
      <w:bCs/>
      <w:i/>
      <w:iCs/>
      <w:sz w:val="28"/>
      <w:szCs w:val="28"/>
      <w:lang w:eastAsia="ar-SA" w:bidi="ar-SA"/>
    </w:rPr>
  </w:style>
  <w:style w:type="character" w:customStyle="1" w:styleId="Heading3Char">
    <w:name w:val="Heading 3 Char"/>
    <w:basedOn w:val="DefaultParagraphFont"/>
    <w:semiHidden/>
    <w:locked/>
    <w:rsid w:val="001228C5"/>
    <w:rPr>
      <w:rFonts w:ascii="Cambria" w:eastAsia="SimSun" w:hAnsi="Cambria" w:cs="Times New Roman"/>
      <w:b/>
      <w:bCs/>
      <w:sz w:val="26"/>
      <w:szCs w:val="26"/>
      <w:lang w:eastAsia="ar-SA" w:bidi="ar-SA"/>
    </w:rPr>
  </w:style>
  <w:style w:type="character" w:customStyle="1" w:styleId="Heading4Char">
    <w:name w:val="Heading 4 Char"/>
    <w:basedOn w:val="DefaultParagraphFont"/>
    <w:semiHidden/>
    <w:locked/>
    <w:rsid w:val="001228C5"/>
    <w:rPr>
      <w:rFonts w:ascii="Calibri" w:eastAsia="SimSun" w:hAnsi="Calibri" w:cs="Arial"/>
      <w:b/>
      <w:bCs/>
      <w:sz w:val="28"/>
      <w:szCs w:val="28"/>
      <w:lang w:eastAsia="ar-SA" w:bidi="ar-SA"/>
    </w:rPr>
  </w:style>
  <w:style w:type="character" w:customStyle="1" w:styleId="Heading5Char">
    <w:name w:val="Heading 5 Char"/>
    <w:basedOn w:val="DefaultParagraphFont"/>
    <w:semiHidden/>
    <w:locked/>
    <w:rsid w:val="001228C5"/>
    <w:rPr>
      <w:rFonts w:ascii="Calibri" w:eastAsia="SimSun" w:hAnsi="Calibri" w:cs="Arial"/>
      <w:b/>
      <w:bCs/>
      <w:i/>
      <w:iCs/>
      <w:sz w:val="26"/>
      <w:szCs w:val="26"/>
      <w:lang w:eastAsia="ar-SA" w:bidi="ar-SA"/>
    </w:rPr>
  </w:style>
  <w:style w:type="character" w:customStyle="1" w:styleId="Heading6Char">
    <w:name w:val="Heading 6 Char"/>
    <w:basedOn w:val="DefaultParagraphFont"/>
    <w:semiHidden/>
    <w:locked/>
    <w:rsid w:val="001228C5"/>
    <w:rPr>
      <w:rFonts w:ascii="Calibri" w:eastAsia="SimSun" w:hAnsi="Calibri" w:cs="Arial"/>
      <w:b/>
      <w:bCs/>
      <w:sz w:val="22"/>
      <w:szCs w:val="22"/>
      <w:lang w:eastAsia="ar-SA" w:bidi="ar-SA"/>
    </w:rPr>
  </w:style>
  <w:style w:type="character" w:customStyle="1" w:styleId="Heading7Char">
    <w:name w:val="Heading 7 Char"/>
    <w:basedOn w:val="DefaultParagraphFont"/>
    <w:semiHidden/>
    <w:locked/>
    <w:rsid w:val="001228C5"/>
    <w:rPr>
      <w:rFonts w:ascii="Calibri" w:eastAsia="SimSun" w:hAnsi="Calibri" w:cs="Arial"/>
      <w:sz w:val="24"/>
      <w:szCs w:val="24"/>
      <w:lang w:eastAsia="ar-SA" w:bidi="ar-SA"/>
    </w:rPr>
  </w:style>
  <w:style w:type="character" w:customStyle="1" w:styleId="Heading8Char">
    <w:name w:val="Heading 8 Char"/>
    <w:basedOn w:val="DefaultParagraphFont"/>
    <w:semiHidden/>
    <w:locked/>
    <w:rsid w:val="001228C5"/>
    <w:rPr>
      <w:rFonts w:ascii="Calibri" w:eastAsia="SimSun" w:hAnsi="Calibri" w:cs="Arial"/>
      <w:i/>
      <w:iCs/>
      <w:sz w:val="24"/>
      <w:szCs w:val="24"/>
      <w:lang w:eastAsia="ar-SA" w:bidi="ar-SA"/>
    </w:rPr>
  </w:style>
  <w:style w:type="character" w:customStyle="1" w:styleId="Heading9Char">
    <w:name w:val="Heading 9 Char"/>
    <w:basedOn w:val="DefaultParagraphFont"/>
    <w:semiHidden/>
    <w:locked/>
    <w:rsid w:val="001228C5"/>
    <w:rPr>
      <w:rFonts w:ascii="Cambria" w:eastAsia="SimSun" w:hAnsi="Cambria" w:cs="Times New Roman"/>
      <w:sz w:val="22"/>
      <w:szCs w:val="22"/>
      <w:lang w:eastAsia="ar-SA" w:bidi="ar-SA"/>
    </w:rPr>
  </w:style>
  <w:style w:type="paragraph" w:styleId="BodyText3">
    <w:name w:val="Body Text 3"/>
    <w:basedOn w:val="Normal"/>
    <w:semiHidden/>
    <w:rsid w:val="001228C5"/>
    <w:pPr>
      <w:bidi w:val="0"/>
      <w:jc w:val="lowKashida"/>
    </w:pPr>
    <w:rPr>
      <w:rFonts w:ascii="Arial" w:hAnsi="Arial" w:cs="Arial"/>
      <w:b/>
      <w:bCs/>
      <w:color w:val="000000"/>
      <w:sz w:val="22"/>
      <w:szCs w:val="22"/>
    </w:rPr>
  </w:style>
  <w:style w:type="character" w:customStyle="1" w:styleId="BodyText3Char">
    <w:name w:val="Body Text 3 Char"/>
    <w:basedOn w:val="DefaultParagraphFont"/>
    <w:semiHidden/>
    <w:locked/>
    <w:rsid w:val="001228C5"/>
    <w:rPr>
      <w:rFonts w:cs="Times New Roman"/>
      <w:sz w:val="16"/>
      <w:szCs w:val="16"/>
      <w:lang w:eastAsia="ar-SA" w:bidi="ar-SA"/>
    </w:rPr>
  </w:style>
  <w:style w:type="paragraph" w:styleId="BlockText">
    <w:name w:val="Block Text"/>
    <w:basedOn w:val="Normal"/>
    <w:semiHidden/>
    <w:rsid w:val="001228C5"/>
    <w:pPr>
      <w:tabs>
        <w:tab w:val="left" w:pos="4395"/>
      </w:tabs>
      <w:bidi w:val="0"/>
      <w:ind w:left="-90" w:right="27"/>
      <w:jc w:val="lowKashida"/>
    </w:pPr>
    <w:rPr>
      <w:b/>
      <w:bCs/>
      <w:noProof/>
      <w:lang w:eastAsia="en-US"/>
    </w:rPr>
  </w:style>
  <w:style w:type="paragraph" w:styleId="Subtitle">
    <w:name w:val="Subtitle"/>
    <w:basedOn w:val="Normal"/>
    <w:qFormat/>
    <w:rsid w:val="001228C5"/>
    <w:pPr>
      <w:bidi w:val="0"/>
      <w:jc w:val="center"/>
    </w:pPr>
    <w:rPr>
      <w:rFonts w:ascii="Bookman Old Style" w:hAnsi="Bookman Old Style" w:cs="Traditional Arabic"/>
      <w:b/>
      <w:bCs/>
      <w:noProof/>
      <w:w w:val="105"/>
      <w:sz w:val="28"/>
      <w:szCs w:val="33"/>
      <w:lang w:eastAsia="en-US"/>
    </w:rPr>
  </w:style>
  <w:style w:type="character" w:customStyle="1" w:styleId="SubtitleChar">
    <w:name w:val="Subtitle Char"/>
    <w:basedOn w:val="DefaultParagraphFont"/>
    <w:locked/>
    <w:rsid w:val="001228C5"/>
    <w:rPr>
      <w:rFonts w:ascii="Cambria" w:eastAsia="SimSun" w:hAnsi="Cambria" w:cs="Times New Roman"/>
      <w:sz w:val="24"/>
      <w:szCs w:val="24"/>
      <w:lang w:eastAsia="ar-SA" w:bidi="ar-SA"/>
    </w:rPr>
  </w:style>
  <w:style w:type="paragraph" w:styleId="BodyText">
    <w:name w:val="Body Text"/>
    <w:basedOn w:val="Normal"/>
    <w:semiHidden/>
    <w:rsid w:val="001228C5"/>
    <w:pPr>
      <w:bidi w:val="0"/>
      <w:jc w:val="lowKashida"/>
    </w:pPr>
    <w:rPr>
      <w:rFonts w:ascii="Bookman Old Style" w:hAnsi="Bookman Old Style" w:cs="Traditional Arabic"/>
      <w:noProof/>
      <w:w w:val="115"/>
      <w:sz w:val="26"/>
      <w:szCs w:val="31"/>
      <w:lang w:eastAsia="en-US"/>
    </w:rPr>
  </w:style>
  <w:style w:type="character" w:customStyle="1" w:styleId="BodyTextChar">
    <w:name w:val="Body Text Char"/>
    <w:basedOn w:val="DefaultParagraphFont"/>
    <w:semiHidden/>
    <w:locked/>
    <w:rsid w:val="001228C5"/>
    <w:rPr>
      <w:rFonts w:cs="Times New Roman"/>
      <w:sz w:val="24"/>
      <w:szCs w:val="24"/>
      <w:lang w:eastAsia="ar-SA" w:bidi="ar-SA"/>
    </w:rPr>
  </w:style>
  <w:style w:type="paragraph" w:styleId="BodyText2">
    <w:name w:val="Body Text 2"/>
    <w:basedOn w:val="Normal"/>
    <w:semiHidden/>
    <w:rsid w:val="001228C5"/>
    <w:pPr>
      <w:bidi w:val="0"/>
      <w:jc w:val="lowKashida"/>
    </w:pPr>
    <w:rPr>
      <w:rFonts w:cs="Traditional Arabic"/>
      <w:noProof/>
      <w:szCs w:val="28"/>
      <w:lang w:eastAsia="en-US"/>
    </w:rPr>
  </w:style>
  <w:style w:type="character" w:customStyle="1" w:styleId="BodyText2Char">
    <w:name w:val="Body Text 2 Char"/>
    <w:basedOn w:val="DefaultParagraphFont"/>
    <w:semiHidden/>
    <w:locked/>
    <w:rsid w:val="001228C5"/>
    <w:rPr>
      <w:rFonts w:cs="Times New Roman"/>
      <w:sz w:val="24"/>
      <w:szCs w:val="24"/>
      <w:lang w:eastAsia="ar-SA" w:bidi="ar-SA"/>
    </w:rPr>
  </w:style>
  <w:style w:type="paragraph" w:styleId="Header">
    <w:name w:val="header"/>
    <w:basedOn w:val="Normal"/>
    <w:semiHidden/>
    <w:rsid w:val="001228C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semiHidden/>
    <w:locked/>
    <w:rsid w:val="001228C5"/>
    <w:rPr>
      <w:rFonts w:cs="Times New Roman"/>
      <w:sz w:val="24"/>
      <w:szCs w:val="24"/>
      <w:lang w:eastAsia="ar-SA" w:bidi="ar-SA"/>
    </w:rPr>
  </w:style>
  <w:style w:type="paragraph" w:styleId="Footer">
    <w:name w:val="footer"/>
    <w:basedOn w:val="Normal"/>
    <w:uiPriority w:val="99"/>
    <w:rsid w:val="001228C5"/>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uiPriority w:val="99"/>
    <w:locked/>
    <w:rsid w:val="001228C5"/>
    <w:rPr>
      <w:rFonts w:cs="Times New Roman"/>
      <w:sz w:val="24"/>
      <w:szCs w:val="24"/>
      <w:lang w:eastAsia="ar-SA" w:bidi="ar-SA"/>
    </w:rPr>
  </w:style>
  <w:style w:type="character" w:styleId="PageNumber">
    <w:name w:val="page number"/>
    <w:basedOn w:val="DefaultParagraphFont"/>
    <w:semiHidden/>
    <w:rsid w:val="001228C5"/>
    <w:rPr>
      <w:rFonts w:cs="Times New Roman"/>
    </w:rPr>
  </w:style>
  <w:style w:type="paragraph" w:styleId="FootnoteText">
    <w:name w:val="footnote text"/>
    <w:basedOn w:val="Normal"/>
    <w:semiHidden/>
    <w:rsid w:val="001228C5"/>
    <w:pPr>
      <w:bidi w:val="0"/>
    </w:pPr>
    <w:rPr>
      <w:rFonts w:cs="Traditional Arabic"/>
      <w:noProof/>
      <w:sz w:val="20"/>
    </w:rPr>
  </w:style>
  <w:style w:type="character" w:customStyle="1" w:styleId="FootnoteTextChar">
    <w:name w:val="Footnote Text Char"/>
    <w:basedOn w:val="DefaultParagraphFont"/>
    <w:semiHidden/>
    <w:locked/>
    <w:rsid w:val="001228C5"/>
    <w:rPr>
      <w:rFonts w:cs="Times New Roman"/>
      <w:lang w:eastAsia="ar-SA" w:bidi="ar-SA"/>
    </w:rPr>
  </w:style>
  <w:style w:type="character" w:styleId="FootnoteReference">
    <w:name w:val="footnote reference"/>
    <w:basedOn w:val="DefaultParagraphFont"/>
    <w:semiHidden/>
    <w:rsid w:val="001228C5"/>
    <w:rPr>
      <w:rFonts w:cs="Times New Roman"/>
      <w:vertAlign w:val="superscript"/>
    </w:rPr>
  </w:style>
  <w:style w:type="paragraph" w:styleId="BodyTextIndent">
    <w:name w:val="Body Text Indent"/>
    <w:basedOn w:val="Normal"/>
    <w:semiHidden/>
    <w:rsid w:val="001228C5"/>
    <w:pPr>
      <w:bidi w:val="0"/>
      <w:ind w:left="-360"/>
      <w:jc w:val="lowKashida"/>
    </w:pPr>
    <w:rPr>
      <w:noProof/>
      <w:lang w:eastAsia="en-US"/>
    </w:rPr>
  </w:style>
  <w:style w:type="character" w:customStyle="1" w:styleId="BodyTextIndentChar">
    <w:name w:val="Body Text Indent Char"/>
    <w:basedOn w:val="DefaultParagraphFont"/>
    <w:semiHidden/>
    <w:locked/>
    <w:rsid w:val="001228C5"/>
    <w:rPr>
      <w:rFonts w:cs="Times New Roman"/>
      <w:sz w:val="24"/>
      <w:szCs w:val="24"/>
      <w:lang w:eastAsia="ar-SA" w:bidi="ar-SA"/>
    </w:rPr>
  </w:style>
  <w:style w:type="paragraph" w:styleId="Title">
    <w:name w:val="Title"/>
    <w:basedOn w:val="Normal"/>
    <w:next w:val="Normal"/>
    <w:qFormat/>
    <w:rsid w:val="001228C5"/>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ocked/>
    <w:rsid w:val="001228C5"/>
    <w:rPr>
      <w:rFonts w:ascii="Cambria" w:eastAsia="SimSun" w:hAnsi="Cambria" w:cs="Times New Roman"/>
      <w:b/>
      <w:bCs/>
      <w:kern w:val="28"/>
      <w:sz w:val="32"/>
      <w:szCs w:val="32"/>
      <w:lang w:eastAsia="ar-SA" w:bidi="ar-SA"/>
    </w:rPr>
  </w:style>
  <w:style w:type="paragraph" w:customStyle="1" w:styleId="xl34">
    <w:name w:val="xl34"/>
    <w:basedOn w:val="Normal"/>
    <w:rsid w:val="001228C5"/>
    <w:pPr>
      <w:bidi w:val="0"/>
      <w:spacing w:before="100" w:after="100"/>
    </w:pPr>
    <w:rPr>
      <w:rFonts w:cs="Traditional Arabic"/>
      <w:szCs w:val="28"/>
      <w:lang w:val="en-GB" w:eastAsia="en-US" w:bidi="ar-JO"/>
    </w:rPr>
  </w:style>
  <w:style w:type="paragraph" w:styleId="BodyTextIndent2">
    <w:name w:val="Body Text Indent 2"/>
    <w:basedOn w:val="Normal"/>
    <w:semiHidden/>
    <w:rsid w:val="001228C5"/>
    <w:pPr>
      <w:bidi w:val="0"/>
      <w:ind w:left="-2"/>
      <w:jc w:val="both"/>
    </w:pPr>
  </w:style>
  <w:style w:type="character" w:customStyle="1" w:styleId="BodyTextIndent2Char">
    <w:name w:val="Body Text Indent 2 Char"/>
    <w:basedOn w:val="DefaultParagraphFont"/>
    <w:semiHidden/>
    <w:locked/>
    <w:rsid w:val="001228C5"/>
    <w:rPr>
      <w:rFonts w:cs="Times New Roman"/>
      <w:sz w:val="24"/>
      <w:szCs w:val="24"/>
      <w:lang w:eastAsia="ar-SA" w:bidi="ar-SA"/>
    </w:rPr>
  </w:style>
  <w:style w:type="character" w:styleId="Hyperlink">
    <w:name w:val="Hyperlink"/>
    <w:basedOn w:val="DefaultParagraphFont"/>
    <w:semiHidden/>
    <w:rsid w:val="001228C5"/>
    <w:rPr>
      <w:rFonts w:cs="Times New Roman"/>
      <w:color w:val="0000FF"/>
      <w:u w:val="single"/>
    </w:rPr>
  </w:style>
  <w:style w:type="paragraph" w:styleId="Caption">
    <w:name w:val="caption"/>
    <w:basedOn w:val="Normal"/>
    <w:next w:val="Normal"/>
    <w:qFormat/>
    <w:rsid w:val="001228C5"/>
    <w:pPr>
      <w:tabs>
        <w:tab w:val="right" w:pos="6377"/>
      </w:tabs>
      <w:snapToGrid w:val="0"/>
      <w:jc w:val="center"/>
    </w:pPr>
    <w:rPr>
      <w:rFonts w:cs="Traditional Arabic"/>
      <w:b/>
      <w:bCs/>
      <w:szCs w:val="28"/>
      <w:lang w:eastAsia="en-US"/>
    </w:rPr>
  </w:style>
  <w:style w:type="paragraph" w:styleId="BodyTextIndent3">
    <w:name w:val="Body Text Indent 3"/>
    <w:basedOn w:val="Normal"/>
    <w:semiHidden/>
    <w:rsid w:val="001228C5"/>
    <w:pPr>
      <w:bidi w:val="0"/>
      <w:ind w:left="720"/>
      <w:jc w:val="lowKashida"/>
    </w:pPr>
    <w:rPr>
      <w:lang w:eastAsia="en-US"/>
    </w:rPr>
  </w:style>
  <w:style w:type="character" w:styleId="FollowedHyperlink">
    <w:name w:val="FollowedHyperlink"/>
    <w:basedOn w:val="DefaultParagraphFont"/>
    <w:semiHidden/>
    <w:rsid w:val="001228C5"/>
    <w:rPr>
      <w:color w:val="800080"/>
      <w:u w:val="single"/>
    </w:rPr>
  </w:style>
  <w:style w:type="character" w:customStyle="1" w:styleId="longtext1">
    <w:name w:val="long_text1"/>
    <w:basedOn w:val="DefaultParagraphFont"/>
    <w:rsid w:val="001228C5"/>
    <w:rPr>
      <w:spacing w:val="408"/>
      <w:sz w:val="20"/>
      <w:szCs w:val="20"/>
    </w:rPr>
  </w:style>
  <w:style w:type="character" w:customStyle="1" w:styleId="longtext">
    <w:name w:val="long_text"/>
    <w:basedOn w:val="DefaultParagraphFont"/>
    <w:rsid w:val="001228C5"/>
  </w:style>
  <w:style w:type="paragraph" w:styleId="BalloonText">
    <w:name w:val="Balloon Text"/>
    <w:basedOn w:val="Normal"/>
    <w:link w:val="BalloonTextChar"/>
    <w:uiPriority w:val="99"/>
    <w:semiHidden/>
    <w:unhideWhenUsed/>
    <w:rsid w:val="00461B79"/>
    <w:rPr>
      <w:rFonts w:ascii="Tahoma" w:hAnsi="Tahoma" w:cs="Tahoma"/>
      <w:sz w:val="16"/>
      <w:szCs w:val="16"/>
    </w:rPr>
  </w:style>
  <w:style w:type="character" w:customStyle="1" w:styleId="BalloonTextChar">
    <w:name w:val="Balloon Text Char"/>
    <w:basedOn w:val="DefaultParagraphFont"/>
    <w:link w:val="BalloonText"/>
    <w:uiPriority w:val="99"/>
    <w:semiHidden/>
    <w:rsid w:val="00461B79"/>
    <w:rPr>
      <w:rFonts w:ascii="Tahoma" w:hAnsi="Tahoma" w:cs="Tahoma"/>
      <w:sz w:val="16"/>
      <w:szCs w:val="16"/>
      <w:lang w:eastAsia="ar-SA"/>
    </w:rPr>
  </w:style>
  <w:style w:type="table" w:styleId="TableGrid">
    <w:name w:val="Table Grid"/>
    <w:basedOn w:val="TableNormal"/>
    <w:uiPriority w:val="59"/>
    <w:rsid w:val="00000F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357723577235773"/>
          <c:y val="0.1586715867158672"/>
          <c:w val="0.85853658536584865"/>
          <c:h val="0.57390897566375665"/>
        </c:manualLayout>
      </c:layout>
      <c:lineChart>
        <c:grouping val="standard"/>
        <c:ser>
          <c:idx val="0"/>
          <c:order val="0"/>
          <c:tx>
            <c:strRef>
              <c:f>Sheet1!$A$2</c:f>
              <c:strCache>
                <c:ptCount val="1"/>
                <c:pt idx="0">
                  <c:v>GDP at Current Prices</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Sheet1!$B$1:$G$1</c:f>
              <c:numCache>
                <c:formatCode>General</c:formatCode>
                <c:ptCount val="6"/>
                <c:pt idx="0">
                  <c:v>2005</c:v>
                </c:pt>
                <c:pt idx="1">
                  <c:v>2006</c:v>
                </c:pt>
                <c:pt idx="2">
                  <c:v>2007</c:v>
                </c:pt>
                <c:pt idx="3">
                  <c:v>2008</c:v>
                </c:pt>
                <c:pt idx="4">
                  <c:v>2009</c:v>
                </c:pt>
                <c:pt idx="5">
                  <c:v>2010</c:v>
                </c:pt>
              </c:numCache>
            </c:numRef>
          </c:cat>
          <c:val>
            <c:numRef>
              <c:f>Sheet1!$B$2:$G$2</c:f>
              <c:numCache>
                <c:formatCode>#,##0.00</c:formatCode>
                <c:ptCount val="6"/>
                <c:pt idx="0">
                  <c:v>4634.4000000000005</c:v>
                </c:pt>
                <c:pt idx="1">
                  <c:v>4619.1000000000004</c:v>
                </c:pt>
                <c:pt idx="2">
                  <c:v>5182.4000000000005</c:v>
                </c:pt>
                <c:pt idx="3">
                  <c:v>6247.3</c:v>
                </c:pt>
                <c:pt idx="4">
                  <c:v>6719.6</c:v>
                </c:pt>
                <c:pt idx="5">
                  <c:v>8330.6</c:v>
                </c:pt>
              </c:numCache>
            </c:numRef>
          </c:val>
        </c:ser>
        <c:ser>
          <c:idx val="1"/>
          <c:order val="1"/>
          <c:tx>
            <c:strRef>
              <c:f>Sheet1!$A$3</c:f>
              <c:strCache>
                <c:ptCount val="1"/>
                <c:pt idx="0">
                  <c:v>GDP at Constant Prices</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Sheet1!$B$1:$G$1</c:f>
              <c:numCache>
                <c:formatCode>General</c:formatCode>
                <c:ptCount val="6"/>
                <c:pt idx="0">
                  <c:v>2005</c:v>
                </c:pt>
                <c:pt idx="1">
                  <c:v>2006</c:v>
                </c:pt>
                <c:pt idx="2">
                  <c:v>2007</c:v>
                </c:pt>
                <c:pt idx="3">
                  <c:v>2008</c:v>
                </c:pt>
                <c:pt idx="4">
                  <c:v>2009</c:v>
                </c:pt>
                <c:pt idx="5">
                  <c:v>2010</c:v>
                </c:pt>
              </c:numCache>
            </c:numRef>
          </c:cat>
          <c:val>
            <c:numRef>
              <c:f>Sheet1!$B$3:$G$3</c:f>
              <c:numCache>
                <c:formatCode>#,##0.00</c:formatCode>
                <c:ptCount val="6"/>
                <c:pt idx="0">
                  <c:v>4559.5</c:v>
                </c:pt>
                <c:pt idx="1">
                  <c:v>4322.3</c:v>
                </c:pt>
                <c:pt idx="2">
                  <c:v>4554.1000000000004</c:v>
                </c:pt>
                <c:pt idx="3">
                  <c:v>4878.3</c:v>
                </c:pt>
                <c:pt idx="4">
                  <c:v>5239.3</c:v>
                </c:pt>
                <c:pt idx="5">
                  <c:v>5754.4</c:v>
                </c:pt>
              </c:numCache>
            </c:numRef>
          </c:val>
        </c:ser>
        <c:marker val="1"/>
        <c:axId val="87859200"/>
        <c:axId val="87860352"/>
      </c:lineChart>
      <c:catAx>
        <c:axId val="87859200"/>
        <c:scaling>
          <c:orientation val="minMax"/>
        </c:scaling>
        <c:axPos val="b"/>
        <c:title>
          <c:tx>
            <c:rich>
              <a:bodyPr/>
              <a:lstStyle/>
              <a:p>
                <a:pPr>
                  <a:defRPr sz="900" b="1" i="0" u="none" strike="noStrike" baseline="0">
                    <a:solidFill>
                      <a:srgbClr val="000000"/>
                    </a:solidFill>
                    <a:latin typeface="Arial"/>
                    <a:ea typeface="Arial"/>
                    <a:cs typeface="Arial"/>
                  </a:defRPr>
                </a:pPr>
                <a:r>
                  <a:rPr lang="en-US"/>
                  <a:t>Year</a:t>
                </a:r>
              </a:p>
            </c:rich>
          </c:tx>
          <c:layout>
            <c:manualLayout>
              <c:xMode val="edge"/>
              <c:yMode val="edge"/>
              <c:x val="0.48393656969840754"/>
              <c:y val="0.88506472405234626"/>
            </c:manualLayout>
          </c:layout>
          <c:spPr>
            <a:noFill/>
            <a:ln w="25399">
              <a:noFill/>
            </a:ln>
          </c:spPr>
        </c:title>
        <c:numFmt formatCode="General" sourceLinked="1"/>
        <c:tickLblPos val="nextTo"/>
        <c:spPr>
          <a:ln w="3175">
            <a:solidFill>
              <a:srgbClr val="000000"/>
            </a:solidFill>
            <a:prstDash val="solid"/>
          </a:ln>
        </c:spPr>
        <c:txPr>
          <a:bodyPr rot="0" vert="horz"/>
          <a:lstStyle/>
          <a:p>
            <a:pPr>
              <a:defRPr sz="950" b="0" i="0" u="none" strike="noStrike" baseline="0">
                <a:solidFill>
                  <a:srgbClr val="000000"/>
                </a:solidFill>
                <a:latin typeface="Arial"/>
                <a:ea typeface="Arial"/>
                <a:cs typeface="Arial"/>
              </a:defRPr>
            </a:pPr>
            <a:endParaRPr lang="ar-SA"/>
          </a:p>
        </c:txPr>
        <c:crossAx val="87860352"/>
        <c:crosses val="autoZero"/>
        <c:auto val="1"/>
        <c:lblAlgn val="ctr"/>
        <c:lblOffset val="100"/>
        <c:tickLblSkip val="1"/>
        <c:tickMarkSkip val="1"/>
      </c:catAx>
      <c:valAx>
        <c:axId val="87860352"/>
        <c:scaling>
          <c:orientation val="minMax"/>
        </c:scaling>
        <c:axPos val="l"/>
        <c:majorGridlines>
          <c:spPr>
            <a:ln w="3175">
              <a:solidFill>
                <a:srgbClr val="000000"/>
              </a:solidFill>
              <a:prstDash val="solid"/>
            </a:ln>
          </c:spPr>
        </c:majorGridlines>
        <c:title>
          <c:tx>
            <c:rich>
              <a:bodyPr/>
              <a:lstStyle/>
              <a:p>
                <a:pPr>
                  <a:defRPr sz="900" b="1" i="0" u="none" strike="noStrike" baseline="0">
                    <a:solidFill>
                      <a:srgbClr val="000000"/>
                    </a:solidFill>
                    <a:latin typeface="Arial"/>
                    <a:ea typeface="Arial"/>
                    <a:cs typeface="Arial"/>
                  </a:defRPr>
                </a:pPr>
                <a:r>
                  <a:rPr lang="en-US"/>
                  <a:t>Value</a:t>
                </a:r>
              </a:p>
            </c:rich>
          </c:tx>
          <c:layout>
            <c:manualLayout>
              <c:xMode val="edge"/>
              <c:yMode val="edge"/>
              <c:x val="1.6260162601626126E-2"/>
              <c:y val="0.39483394833948737"/>
            </c:manualLayout>
          </c:layout>
          <c:spPr>
            <a:noFill/>
            <a:ln w="25399">
              <a:noFill/>
            </a:ln>
          </c:spPr>
        </c:title>
        <c:numFmt formatCode="#,##0" sourceLinked="0"/>
        <c:tickLblPos val="nextTo"/>
        <c:spPr>
          <a:ln w="3175">
            <a:solidFill>
              <a:srgbClr val="000000"/>
            </a:solidFill>
            <a:prstDash val="solid"/>
          </a:ln>
        </c:spPr>
        <c:txPr>
          <a:bodyPr rot="0" vert="horz"/>
          <a:lstStyle/>
          <a:p>
            <a:pPr>
              <a:defRPr sz="950" b="0" i="0" u="none" strike="noStrike" baseline="0">
                <a:solidFill>
                  <a:srgbClr val="000000"/>
                </a:solidFill>
                <a:latin typeface="Arial"/>
                <a:ea typeface="Arial"/>
                <a:cs typeface="Arial"/>
              </a:defRPr>
            </a:pPr>
            <a:endParaRPr lang="ar-SA"/>
          </a:p>
        </c:txPr>
        <c:crossAx val="87859200"/>
        <c:crosses val="autoZero"/>
        <c:crossBetween val="between"/>
        <c:majorUnit val="1500"/>
      </c:valAx>
      <c:spPr>
        <a:solidFill>
          <a:srgbClr val="FFFFFF"/>
        </a:solidFill>
        <a:ln w="12700">
          <a:solidFill>
            <a:srgbClr val="808080"/>
          </a:solidFill>
          <a:prstDash val="solid"/>
        </a:ln>
      </c:spPr>
    </c:plotArea>
    <c:legend>
      <c:legendPos val="t"/>
      <c:layout>
        <c:manualLayout>
          <c:xMode val="edge"/>
          <c:yMode val="edge"/>
          <c:x val="0.22601626016260343"/>
          <c:y val="1.4760147601476021E-2"/>
          <c:w val="0.56422764227642275"/>
          <c:h val="8.8560885608857512E-2"/>
        </c:manualLayout>
      </c:layout>
      <c:spPr>
        <a:noFill/>
        <a:ln w="3175">
          <a:solidFill>
            <a:srgbClr val="000000"/>
          </a:solidFill>
          <a:prstDash val="solid"/>
        </a:ln>
      </c:spPr>
      <c:txPr>
        <a:bodyPr/>
        <a:lstStyle/>
        <a:p>
          <a:pPr>
            <a:defRPr sz="870" b="0" i="0" u="none" strike="noStrike" baseline="0">
              <a:solidFill>
                <a:srgbClr val="000000"/>
              </a:solidFill>
              <a:latin typeface="Arial"/>
              <a:ea typeface="Arial"/>
              <a:cs typeface="Arial"/>
            </a:defRPr>
          </a:pPr>
          <a:endParaRPr lang="ar-SA"/>
        </a:p>
      </c:txPr>
    </c:legend>
    <c:plotVisOnly val="1"/>
    <c:dispBlanksAs val="gap"/>
  </c:chart>
  <c:spPr>
    <a:noFill/>
    <a:ln w="0" cap="flat" cmpd="sng" algn="ctr">
      <a:noFill/>
      <a:prstDash val="solid"/>
      <a:miter lim="800000"/>
      <a:headEnd type="none" w="med" len="med"/>
      <a:tailEnd type="none" w="med" len="med"/>
    </a:ln>
  </c:spPr>
  <c:txPr>
    <a:bodyPr/>
    <a:lstStyle/>
    <a:p>
      <a:pPr>
        <a:defRPr sz="95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351945854483926"/>
          <c:y val="0.10625000000000002"/>
          <c:w val="0.83587140439932972"/>
          <c:h val="0.73437500000000455"/>
        </c:manualLayout>
      </c:layout>
      <c:lineChart>
        <c:grouping val="standard"/>
        <c:ser>
          <c:idx val="0"/>
          <c:order val="0"/>
          <c:tx>
            <c:strRef>
              <c:f>Sheet1!$A$2</c:f>
              <c:strCache>
                <c:ptCount val="1"/>
                <c:pt idx="0">
                  <c:v>Final consumption</c:v>
                </c:pt>
              </c:strCache>
            </c:strRef>
          </c:tx>
          <c:spPr>
            <a:ln w="12700">
              <a:solidFill>
                <a:srgbClr val="000080"/>
              </a:solidFill>
              <a:prstDash val="solid"/>
            </a:ln>
          </c:spPr>
          <c:marker>
            <c:symbol val="x"/>
            <c:size val="5"/>
            <c:spPr>
              <a:solidFill>
                <a:srgbClr val="000080"/>
              </a:solidFill>
              <a:ln>
                <a:solidFill>
                  <a:srgbClr val="000080"/>
                </a:solidFill>
                <a:prstDash val="solid"/>
              </a:ln>
            </c:spPr>
          </c:marker>
          <c:dPt>
            <c:idx val="2"/>
            <c:marker>
              <c:symbol val="plus"/>
              <c:size val="5"/>
            </c:marker>
            <c:spPr>
              <a:ln w="12700">
                <a:solidFill>
                  <a:srgbClr val="000080"/>
                </a:solidFill>
                <a:prstDash val="solid"/>
              </a:ln>
            </c:spPr>
          </c:dPt>
          <c:cat>
            <c:numRef>
              <c:f>Sheet1!$B$1:$G$1</c:f>
              <c:numCache>
                <c:formatCode>General</c:formatCode>
                <c:ptCount val="6"/>
                <c:pt idx="0">
                  <c:v>2005</c:v>
                </c:pt>
                <c:pt idx="1">
                  <c:v>2006</c:v>
                </c:pt>
                <c:pt idx="2">
                  <c:v>2007</c:v>
                </c:pt>
                <c:pt idx="3">
                  <c:v>2008</c:v>
                </c:pt>
                <c:pt idx="4">
                  <c:v>2009</c:v>
                </c:pt>
                <c:pt idx="5">
                  <c:v>2010</c:v>
                </c:pt>
              </c:numCache>
            </c:numRef>
          </c:cat>
          <c:val>
            <c:numRef>
              <c:f>Sheet1!$B$2:$G$2</c:f>
              <c:numCache>
                <c:formatCode>#,##0.00</c:formatCode>
                <c:ptCount val="6"/>
                <c:pt idx="0">
                  <c:v>5497.5</c:v>
                </c:pt>
                <c:pt idx="1">
                  <c:v>5256.9</c:v>
                </c:pt>
                <c:pt idx="2">
                  <c:v>5669.8</c:v>
                </c:pt>
                <c:pt idx="3">
                  <c:v>6138.7</c:v>
                </c:pt>
                <c:pt idx="4">
                  <c:v>6694.4</c:v>
                </c:pt>
                <c:pt idx="5">
                  <c:v>7303.6</c:v>
                </c:pt>
              </c:numCache>
            </c:numRef>
          </c:val>
        </c:ser>
        <c:ser>
          <c:idx val="1"/>
          <c:order val="1"/>
          <c:tx>
            <c:strRef>
              <c:f>Sheet1!$A$3</c:f>
              <c:strCache>
                <c:ptCount val="1"/>
                <c:pt idx="0">
                  <c:v>Gross capital formation</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Sheet1!$B$1:$G$1</c:f>
              <c:numCache>
                <c:formatCode>General</c:formatCode>
                <c:ptCount val="6"/>
                <c:pt idx="0">
                  <c:v>2005</c:v>
                </c:pt>
                <c:pt idx="1">
                  <c:v>2006</c:v>
                </c:pt>
                <c:pt idx="2">
                  <c:v>2007</c:v>
                </c:pt>
                <c:pt idx="3">
                  <c:v>2008</c:v>
                </c:pt>
                <c:pt idx="4">
                  <c:v>2009</c:v>
                </c:pt>
                <c:pt idx="5">
                  <c:v>2010</c:v>
                </c:pt>
              </c:numCache>
            </c:numRef>
          </c:cat>
          <c:val>
            <c:numRef>
              <c:f>Sheet1!$B$3:$G$3</c:f>
              <c:numCache>
                <c:formatCode>General</c:formatCode>
                <c:ptCount val="6"/>
                <c:pt idx="0" formatCode="#,##0.00">
                  <c:v>1265.7</c:v>
                </c:pt>
                <c:pt idx="1">
                  <c:v>1347.2</c:v>
                </c:pt>
                <c:pt idx="2" formatCode="#,##0.00">
                  <c:v>1122.9000000000001</c:v>
                </c:pt>
                <c:pt idx="3" formatCode="#,##0.00">
                  <c:v>1060.5</c:v>
                </c:pt>
                <c:pt idx="4" formatCode="#,##0.00">
                  <c:v>1137.3</c:v>
                </c:pt>
                <c:pt idx="5" formatCode="#,##0.00">
                  <c:v>1443.2</c:v>
                </c:pt>
              </c:numCache>
            </c:numRef>
          </c:val>
        </c:ser>
        <c:ser>
          <c:idx val="2"/>
          <c:order val="2"/>
          <c:tx>
            <c:strRef>
              <c:f>Sheet1!$A$4</c:f>
              <c:strCache>
                <c:ptCount val="1"/>
                <c:pt idx="0">
                  <c:v>Net exports of goods and services</c:v>
                </c:pt>
              </c:strCache>
            </c:strRef>
          </c:tx>
          <c:spPr>
            <a:ln w="12700">
              <a:solidFill>
                <a:srgbClr val="339966"/>
              </a:solidFill>
              <a:prstDash val="solid"/>
            </a:ln>
          </c:spPr>
          <c:marker>
            <c:symbol val="triangle"/>
            <c:size val="5"/>
            <c:spPr>
              <a:solidFill>
                <a:srgbClr val="339966"/>
              </a:solidFill>
              <a:ln>
                <a:solidFill>
                  <a:srgbClr val="339966"/>
                </a:solidFill>
                <a:prstDash val="solid"/>
              </a:ln>
            </c:spPr>
          </c:marker>
          <c:cat>
            <c:numRef>
              <c:f>Sheet1!$B$1:$G$1</c:f>
              <c:numCache>
                <c:formatCode>General</c:formatCode>
                <c:ptCount val="6"/>
                <c:pt idx="0">
                  <c:v>2005</c:v>
                </c:pt>
                <c:pt idx="1">
                  <c:v>2006</c:v>
                </c:pt>
                <c:pt idx="2">
                  <c:v>2007</c:v>
                </c:pt>
                <c:pt idx="3">
                  <c:v>2008</c:v>
                </c:pt>
                <c:pt idx="4">
                  <c:v>2009</c:v>
                </c:pt>
                <c:pt idx="5">
                  <c:v>2010</c:v>
                </c:pt>
              </c:numCache>
            </c:numRef>
          </c:cat>
          <c:val>
            <c:numRef>
              <c:f>Sheet1!$B$4:$G$4</c:f>
              <c:numCache>
                <c:formatCode>#,##0.00</c:formatCode>
                <c:ptCount val="6"/>
                <c:pt idx="0">
                  <c:v>-2203.6999999999998</c:v>
                </c:pt>
                <c:pt idx="1">
                  <c:v>-2281.8000000000002</c:v>
                </c:pt>
                <c:pt idx="2">
                  <c:v>-2238.6</c:v>
                </c:pt>
                <c:pt idx="3" formatCode="General">
                  <c:v>-2320.9</c:v>
                </c:pt>
                <c:pt idx="4">
                  <c:v>-2592.4</c:v>
                </c:pt>
                <c:pt idx="5">
                  <c:v>-2992.4</c:v>
                </c:pt>
              </c:numCache>
            </c:numRef>
          </c:val>
        </c:ser>
        <c:marker val="1"/>
        <c:axId val="104638720"/>
        <c:axId val="104641280"/>
      </c:lineChart>
      <c:catAx>
        <c:axId val="104638720"/>
        <c:scaling>
          <c:orientation val="minMax"/>
        </c:scaling>
        <c:axPos val="b"/>
        <c:title>
          <c:tx>
            <c:rich>
              <a:bodyPr/>
              <a:lstStyle/>
              <a:p>
                <a:pPr>
                  <a:defRPr sz="875" b="1" i="0" u="none" strike="noStrike" baseline="0">
                    <a:solidFill>
                      <a:srgbClr val="000000"/>
                    </a:solidFill>
                    <a:latin typeface="Arial"/>
                    <a:ea typeface="Arial"/>
                    <a:cs typeface="Arial"/>
                  </a:defRPr>
                </a:pPr>
                <a:r>
                  <a:rPr lang="en-US"/>
                  <a:t>Year</a:t>
                </a:r>
              </a:p>
            </c:rich>
          </c:tx>
          <c:layout>
            <c:manualLayout>
              <c:xMode val="edge"/>
              <c:yMode val="edge"/>
              <c:x val="0.51607445008460262"/>
              <c:y val="0.87500000000000455"/>
            </c:manualLayout>
          </c:layout>
          <c:spPr>
            <a:noFill/>
            <a:ln w="25401">
              <a:noFill/>
            </a:ln>
          </c:spPr>
        </c:title>
        <c:numFmt formatCode="General" sourceLinked="1"/>
        <c:tickLblPos val="nextTo"/>
        <c:spPr>
          <a:ln w="3175">
            <a:solidFill>
              <a:srgbClr val="000000"/>
            </a:solidFill>
            <a:prstDash val="solid"/>
          </a:ln>
        </c:spPr>
        <c:txPr>
          <a:bodyPr rot="0" vert="horz"/>
          <a:lstStyle/>
          <a:p>
            <a:pPr>
              <a:defRPr sz="925" b="0" i="0" u="none" strike="noStrike" baseline="0">
                <a:solidFill>
                  <a:srgbClr val="000000"/>
                </a:solidFill>
                <a:latin typeface="Arial"/>
                <a:ea typeface="Arial"/>
                <a:cs typeface="Arial"/>
              </a:defRPr>
            </a:pPr>
            <a:endParaRPr lang="ar-SA"/>
          </a:p>
        </c:txPr>
        <c:crossAx val="104641280"/>
        <c:crosses val="autoZero"/>
        <c:auto val="1"/>
        <c:lblAlgn val="ctr"/>
        <c:lblOffset val="100"/>
        <c:tickLblSkip val="1"/>
        <c:tickMarkSkip val="1"/>
      </c:catAx>
      <c:valAx>
        <c:axId val="104641280"/>
        <c:scaling>
          <c:orientation val="minMax"/>
        </c:scaling>
        <c:axPos val="l"/>
        <c:majorGridlines>
          <c:spPr>
            <a:ln w="3175">
              <a:solidFill>
                <a:srgbClr val="000000"/>
              </a:solidFill>
              <a:prstDash val="solid"/>
            </a:ln>
          </c:spPr>
        </c:majorGridlines>
        <c:title>
          <c:tx>
            <c:rich>
              <a:bodyPr/>
              <a:lstStyle/>
              <a:p>
                <a:pPr>
                  <a:defRPr sz="875" b="1" i="0" u="none" strike="noStrike" baseline="0">
                    <a:solidFill>
                      <a:srgbClr val="000000"/>
                    </a:solidFill>
                    <a:latin typeface="Arial"/>
                    <a:ea typeface="Arial"/>
                    <a:cs typeface="Arial"/>
                  </a:defRPr>
                </a:pPr>
                <a:r>
                  <a:rPr lang="en-US"/>
                  <a:t>Value</a:t>
                </a:r>
              </a:p>
            </c:rich>
          </c:tx>
          <c:layout>
            <c:manualLayout>
              <c:xMode val="edge"/>
              <c:yMode val="edge"/>
              <c:x val="6.7681895093062603E-3"/>
              <c:y val="0.41562500000000002"/>
            </c:manualLayout>
          </c:layout>
          <c:spPr>
            <a:noFill/>
            <a:ln w="25401">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4638720"/>
        <c:crosses val="autoZero"/>
        <c:crossBetween val="between"/>
        <c:majorUnit val="1000"/>
      </c:valAx>
      <c:spPr>
        <a:solidFill>
          <a:srgbClr val="FFFFFF"/>
        </a:solidFill>
        <a:ln w="12700">
          <a:solidFill>
            <a:srgbClr val="808080"/>
          </a:solidFill>
          <a:prstDash val="solid"/>
        </a:ln>
      </c:spPr>
    </c:plotArea>
    <c:legend>
      <c:legendPos val="r"/>
      <c:layout>
        <c:manualLayout>
          <c:xMode val="edge"/>
          <c:yMode val="edge"/>
          <c:x val="6.2605752961082867E-2"/>
          <c:y val="6.2500000000000134E-3"/>
          <c:w val="0.91878172588832452"/>
          <c:h val="7.5000000000000011E-2"/>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12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A4E35-813A-48CE-9F61-CA8BD59C0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3391</Words>
  <Characters>19332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lpstr>
    </vt:vector>
  </TitlesOfParts>
  <Company>Grizli777</Company>
  <LinksUpToDate>false</LinksUpToDate>
  <CharactersWithSpaces>22678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aomar</dc:creator>
  <cp:keywords/>
  <cp:lastModifiedBy>mrania</cp:lastModifiedBy>
  <cp:revision>17</cp:revision>
  <cp:lastPrinted>2012-02-19T09:53:00Z</cp:lastPrinted>
  <dcterms:created xsi:type="dcterms:W3CDTF">2012-02-22T08:07:00Z</dcterms:created>
  <dcterms:modified xsi:type="dcterms:W3CDTF">2012-02-22T11:31:00Z</dcterms:modified>
</cp:coreProperties>
</file>